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FA521F">
      <w:pPr>
        <w:pStyle w:val="7"/>
        <w:ind w:left="360" w:firstLine="0" w:firstLineChars="0"/>
        <w:rPr>
          <w:rFonts w:hint="eastAsia"/>
        </w:rPr>
      </w:pPr>
      <w:r>
        <w:rPr>
          <w:rFonts w:hint="eastAsia" w:ascii="宋体" w:hAnsi="宋体" w:eastAsia="宋体" w:cs="宋体"/>
          <w:b/>
          <w:bCs/>
          <w:sz w:val="24"/>
          <w:szCs w:val="28"/>
        </w:rPr>
        <w:t>一、设备参数及预算</w:t>
      </w:r>
    </w:p>
    <w:tbl>
      <w:tblPr>
        <w:tblStyle w:val="5"/>
        <w:tblW w:w="5279" w:type="pct"/>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222"/>
        <w:gridCol w:w="3882"/>
        <w:gridCol w:w="718"/>
        <w:gridCol w:w="794"/>
        <w:gridCol w:w="809"/>
        <w:gridCol w:w="868"/>
      </w:tblGrid>
      <w:tr w14:paraId="7BC8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392" w:type="pct"/>
            <w:noWrap/>
            <w:vAlign w:val="center"/>
          </w:tcPr>
          <w:p w14:paraId="225130FF">
            <w:pPr>
              <w:jc w:val="center"/>
              <w:rPr>
                <w:rFonts w:hint="eastAsia" w:ascii="宋体" w:hAnsi="宋体" w:eastAsia="宋体" w:cs="宋体"/>
                <w:b/>
                <w:bCs/>
              </w:rPr>
            </w:pPr>
            <w:r>
              <w:rPr>
                <w:rFonts w:hint="eastAsia" w:ascii="宋体" w:hAnsi="宋体" w:eastAsia="宋体" w:cs="宋体"/>
                <w:b/>
                <w:bCs/>
              </w:rPr>
              <w:t>序号</w:t>
            </w:r>
          </w:p>
        </w:tc>
        <w:tc>
          <w:tcPr>
            <w:tcW w:w="678" w:type="pct"/>
            <w:noWrap/>
            <w:vAlign w:val="center"/>
          </w:tcPr>
          <w:p w14:paraId="07E0AD1A">
            <w:pPr>
              <w:jc w:val="center"/>
              <w:rPr>
                <w:rFonts w:hint="eastAsia" w:ascii="宋体" w:hAnsi="宋体" w:eastAsia="宋体" w:cs="宋体"/>
                <w:b/>
                <w:bCs/>
              </w:rPr>
            </w:pPr>
            <w:r>
              <w:rPr>
                <w:rFonts w:hint="eastAsia" w:ascii="宋体" w:hAnsi="宋体" w:eastAsia="宋体" w:cs="宋体"/>
                <w:b/>
                <w:bCs/>
              </w:rPr>
              <w:t>品名</w:t>
            </w:r>
          </w:p>
        </w:tc>
        <w:tc>
          <w:tcPr>
            <w:tcW w:w="2156" w:type="pct"/>
            <w:noWrap/>
            <w:vAlign w:val="center"/>
          </w:tcPr>
          <w:p w14:paraId="790F451F">
            <w:pPr>
              <w:jc w:val="center"/>
              <w:rPr>
                <w:rFonts w:hint="eastAsia" w:ascii="宋体" w:hAnsi="宋体" w:eastAsia="宋体" w:cs="宋体"/>
                <w:b/>
                <w:bCs/>
              </w:rPr>
            </w:pPr>
            <w:r>
              <w:rPr>
                <w:rFonts w:hint="eastAsia" w:ascii="宋体" w:hAnsi="宋体" w:eastAsia="宋体" w:cs="宋体"/>
                <w:b/>
                <w:bCs/>
              </w:rPr>
              <w:t>技术要求</w:t>
            </w:r>
          </w:p>
        </w:tc>
        <w:tc>
          <w:tcPr>
            <w:tcW w:w="398" w:type="pct"/>
            <w:noWrap/>
            <w:vAlign w:val="center"/>
          </w:tcPr>
          <w:p w14:paraId="1B46D2A5">
            <w:pPr>
              <w:jc w:val="center"/>
              <w:rPr>
                <w:rFonts w:hint="eastAsia" w:ascii="宋体" w:hAnsi="宋体" w:eastAsia="宋体" w:cs="宋体"/>
                <w:b/>
                <w:bCs/>
              </w:rPr>
            </w:pPr>
            <w:r>
              <w:rPr>
                <w:rFonts w:hint="eastAsia" w:ascii="宋体" w:hAnsi="宋体" w:eastAsia="宋体" w:cs="宋体"/>
                <w:b/>
                <w:bCs/>
              </w:rPr>
              <w:t>单位</w:t>
            </w:r>
          </w:p>
        </w:tc>
        <w:tc>
          <w:tcPr>
            <w:tcW w:w="441" w:type="pct"/>
            <w:noWrap/>
            <w:vAlign w:val="center"/>
          </w:tcPr>
          <w:p w14:paraId="2F0CB4C0">
            <w:pPr>
              <w:jc w:val="center"/>
              <w:rPr>
                <w:rFonts w:hint="eastAsia" w:ascii="宋体" w:hAnsi="宋体" w:eastAsia="宋体" w:cs="宋体"/>
                <w:b/>
                <w:bCs/>
              </w:rPr>
            </w:pPr>
            <w:r>
              <w:rPr>
                <w:rFonts w:hint="eastAsia" w:ascii="宋体" w:hAnsi="宋体" w:eastAsia="宋体" w:cs="宋体"/>
                <w:b/>
                <w:bCs/>
              </w:rPr>
              <w:t>数量</w:t>
            </w:r>
          </w:p>
        </w:tc>
        <w:tc>
          <w:tcPr>
            <w:tcW w:w="449" w:type="pct"/>
            <w:noWrap/>
            <w:vAlign w:val="center"/>
          </w:tcPr>
          <w:p w14:paraId="6E136C40">
            <w:pPr>
              <w:jc w:val="center"/>
              <w:rPr>
                <w:rFonts w:hint="eastAsia" w:ascii="宋体" w:hAnsi="宋体" w:eastAsia="宋体" w:cs="宋体"/>
                <w:b/>
                <w:bCs/>
              </w:rPr>
            </w:pPr>
            <w:r>
              <w:rPr>
                <w:rFonts w:hint="eastAsia" w:ascii="宋体" w:hAnsi="宋体" w:eastAsia="宋体" w:cs="宋体"/>
                <w:b/>
                <w:bCs/>
              </w:rPr>
              <w:t>单价（元）</w:t>
            </w:r>
          </w:p>
        </w:tc>
        <w:tc>
          <w:tcPr>
            <w:tcW w:w="482" w:type="pct"/>
            <w:noWrap/>
            <w:vAlign w:val="center"/>
          </w:tcPr>
          <w:p w14:paraId="5858B902">
            <w:pPr>
              <w:jc w:val="center"/>
              <w:rPr>
                <w:rFonts w:hint="eastAsia" w:ascii="宋体" w:hAnsi="宋体" w:eastAsia="宋体" w:cs="宋体"/>
                <w:b/>
                <w:bCs/>
              </w:rPr>
            </w:pPr>
            <w:r>
              <w:rPr>
                <w:rFonts w:hint="eastAsia" w:ascii="宋体" w:hAnsi="宋体" w:eastAsia="宋体" w:cs="宋体"/>
                <w:b/>
                <w:bCs/>
              </w:rPr>
              <w:t>总价（元）</w:t>
            </w:r>
          </w:p>
        </w:tc>
      </w:tr>
      <w:tr w14:paraId="5A49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4" w:hRule="atLeast"/>
        </w:trPr>
        <w:tc>
          <w:tcPr>
            <w:tcW w:w="392" w:type="pct"/>
            <w:noWrap/>
            <w:vAlign w:val="center"/>
          </w:tcPr>
          <w:p w14:paraId="48D1343D">
            <w:pPr>
              <w:jc w:val="center"/>
              <w:rPr>
                <w:rFonts w:hint="eastAsia" w:ascii="宋体" w:hAnsi="宋体" w:eastAsia="宋体" w:cs="宋体"/>
              </w:rPr>
            </w:pPr>
            <w:r>
              <w:rPr>
                <w:rFonts w:hint="eastAsia" w:ascii="宋体" w:hAnsi="宋体" w:eastAsia="宋体" w:cs="宋体"/>
              </w:rPr>
              <w:t>1</w:t>
            </w:r>
          </w:p>
        </w:tc>
        <w:tc>
          <w:tcPr>
            <w:tcW w:w="678" w:type="pct"/>
            <w:noWrap/>
            <w:vAlign w:val="center"/>
          </w:tcPr>
          <w:p w14:paraId="09A7250D">
            <w:pPr>
              <w:jc w:val="center"/>
              <w:rPr>
                <w:rFonts w:hint="eastAsia" w:ascii="宋体" w:hAnsi="宋体" w:eastAsia="宋体" w:cs="宋体"/>
              </w:rPr>
            </w:pPr>
            <w:r>
              <w:rPr>
                <w:rFonts w:ascii="宋体" w:hAnsi="宋体" w:eastAsia="宋体" w:cs="宋体"/>
              </w:rPr>
              <w:br w:type="textWrapping"/>
            </w:r>
            <w:r>
              <w:rPr>
                <w:rFonts w:ascii="宋体" w:hAnsi="宋体" w:eastAsia="宋体" w:cs="宋体"/>
              </w:rPr>
              <w:t>全钢中央台</w:t>
            </w:r>
          </w:p>
        </w:tc>
        <w:tc>
          <w:tcPr>
            <w:tcW w:w="2156" w:type="pct"/>
            <w:vAlign w:val="center"/>
          </w:tcPr>
          <w:p w14:paraId="70311F6C">
            <w:pPr>
              <w:jc w:val="left"/>
              <w:rPr>
                <w:rFonts w:hint="eastAsia" w:ascii="宋体" w:hAnsi="宋体" w:eastAsia="宋体" w:cs="宋体"/>
              </w:rPr>
            </w:pPr>
            <w:r>
              <w:rPr>
                <w:rFonts w:hint="eastAsia" w:ascii="宋体" w:hAnsi="宋体" w:eastAsia="宋体" w:cs="宋体"/>
              </w:rPr>
              <w:t>1、中央台：</w:t>
            </w:r>
            <w:r>
              <w:rPr>
                <w:rFonts w:hint="eastAsia" w:ascii="宋体" w:hAnsi="宋体" w:eastAsia="宋体" w:cs="宋体"/>
                <w:lang w:val="en-US" w:eastAsia="zh-CN"/>
              </w:rPr>
              <w:t>规格：</w:t>
            </w:r>
            <w:r>
              <w:rPr>
                <w:rFonts w:hint="eastAsia" w:ascii="宋体" w:hAnsi="宋体" w:eastAsia="宋体" w:cs="宋体"/>
              </w:rPr>
              <w:t>4800*1500*800mm</w:t>
            </w:r>
          </w:p>
          <w:p w14:paraId="504A8240">
            <w:pPr>
              <w:jc w:val="left"/>
              <w:rPr>
                <w:rFonts w:hint="eastAsia" w:ascii="宋体" w:hAnsi="宋体" w:eastAsia="宋体" w:cs="宋体"/>
              </w:rPr>
            </w:pPr>
            <w:r>
              <w:rPr>
                <w:rFonts w:hint="eastAsia" w:ascii="宋体" w:hAnsi="宋体" w:eastAsia="宋体" w:cs="宋体"/>
              </w:rPr>
              <w:t>1.1实验台柜体技术规格</w:t>
            </w:r>
          </w:p>
          <w:p w14:paraId="46ECC1D3">
            <w:pPr>
              <w:jc w:val="left"/>
              <w:rPr>
                <w:rFonts w:hint="eastAsia" w:ascii="宋体" w:hAnsi="宋体" w:eastAsia="宋体" w:cs="宋体"/>
              </w:rPr>
            </w:pPr>
            <w:r>
              <w:rPr>
                <w:rFonts w:hint="eastAsia" w:ascii="宋体" w:hAnsi="宋体" w:eastAsia="宋体" w:cs="宋体"/>
              </w:rPr>
              <w:t>（1）★实验室家具的设计制造标准及总体性能应符合以下标准且需具有符合CMA或CNAS认可的第三方检测机构出具的检测报告：</w:t>
            </w:r>
          </w:p>
          <w:p w14:paraId="0F5AB1C2">
            <w:pPr>
              <w:jc w:val="left"/>
              <w:rPr>
                <w:rFonts w:hint="eastAsia" w:ascii="宋体" w:hAnsi="宋体" w:eastAsia="宋体" w:cs="宋体"/>
              </w:rPr>
            </w:pPr>
            <w:r>
              <w:rPr>
                <w:rFonts w:hint="eastAsia" w:ascii="宋体" w:hAnsi="宋体" w:eastAsia="宋体" w:cs="宋体"/>
              </w:rPr>
              <w:t>1）《金属材料夏比摆锤冲击试验方法》（GB/T 229-2020）；</w:t>
            </w:r>
          </w:p>
          <w:p w14:paraId="7540D4C6">
            <w:pPr>
              <w:jc w:val="left"/>
              <w:rPr>
                <w:rFonts w:hint="eastAsia" w:ascii="宋体" w:hAnsi="宋体" w:eastAsia="宋体" w:cs="宋体"/>
              </w:rPr>
            </w:pPr>
            <w:r>
              <w:rPr>
                <w:rFonts w:hint="eastAsia" w:ascii="宋体" w:hAnsi="宋体" w:eastAsia="宋体" w:cs="宋体"/>
              </w:rPr>
              <w:t>2）《实验室家具通用技术条件》（GB 24820-2024）；</w:t>
            </w:r>
          </w:p>
          <w:p w14:paraId="061568CD">
            <w:pPr>
              <w:jc w:val="left"/>
              <w:rPr>
                <w:rFonts w:hint="eastAsia" w:ascii="宋体" w:hAnsi="宋体" w:eastAsia="宋体" w:cs="宋体"/>
              </w:rPr>
            </w:pPr>
            <w:r>
              <w:rPr>
                <w:rFonts w:hint="eastAsia" w:ascii="宋体" w:hAnsi="宋体" w:eastAsia="宋体" w:cs="宋体"/>
              </w:rPr>
              <w:t>3）《实验台的安全性能》（GB 28008-2024）</w:t>
            </w:r>
          </w:p>
          <w:p w14:paraId="2D029E24">
            <w:pPr>
              <w:jc w:val="left"/>
              <w:rPr>
                <w:rFonts w:hint="eastAsia" w:ascii="宋体" w:hAnsi="宋体" w:eastAsia="宋体" w:cs="宋体"/>
              </w:rPr>
            </w:pPr>
            <w:r>
              <w:rPr>
                <w:rFonts w:hint="eastAsia" w:ascii="宋体" w:hAnsi="宋体" w:eastAsia="宋体" w:cs="宋体"/>
              </w:rPr>
              <w:t>4）《环境标志产品技术要求 家具》（HJ 2547-2016）</w:t>
            </w:r>
          </w:p>
          <w:p w14:paraId="67A9A3A9">
            <w:pPr>
              <w:jc w:val="left"/>
              <w:rPr>
                <w:rFonts w:hint="eastAsia" w:ascii="宋体" w:hAnsi="宋体" w:eastAsia="宋体" w:cs="宋体"/>
              </w:rPr>
            </w:pPr>
            <w:r>
              <w:rPr>
                <w:rFonts w:hint="eastAsia" w:ascii="宋体" w:hAnsi="宋体" w:eastAsia="宋体" w:cs="宋体"/>
              </w:rPr>
              <w:t>注：本★号项（全钢实验台）投标时需提供国内第三方出具的“检测报告”复印件，并加盖制造商公章。</w:t>
            </w:r>
          </w:p>
          <w:p w14:paraId="53F8D3BD">
            <w:pPr>
              <w:jc w:val="left"/>
              <w:rPr>
                <w:rFonts w:hint="eastAsia" w:ascii="宋体" w:hAnsi="宋体" w:eastAsia="宋体" w:cs="宋体"/>
              </w:rPr>
            </w:pPr>
            <w:r>
              <w:rPr>
                <w:rFonts w:hint="eastAsia" w:ascii="宋体" w:hAnsi="宋体" w:eastAsia="宋体" w:cs="宋体"/>
              </w:rPr>
              <w:t>（2）柜体采用不小于1.0mm厚冷轧钢板，</w:t>
            </w:r>
          </w:p>
          <w:p w14:paraId="28DE7176">
            <w:pPr>
              <w:jc w:val="left"/>
              <w:rPr>
                <w:rFonts w:hint="eastAsia" w:ascii="宋体" w:hAnsi="宋体" w:eastAsia="宋体" w:cs="宋体"/>
              </w:rPr>
            </w:pPr>
            <w:r>
              <w:rPr>
                <w:rFonts w:hint="eastAsia" w:ascii="宋体" w:hAnsi="宋体" w:eastAsia="宋体" w:cs="宋体"/>
              </w:rPr>
              <w:t>（3）柜体表面喷涂环氧树脂粉末，喷涂厚度≥75µm，表面喷涂均匀、色泽一致、无流挂、皱皮、鼓泡、凹陷、压痕；</w:t>
            </w:r>
          </w:p>
          <w:p w14:paraId="0BCECFC8">
            <w:pPr>
              <w:jc w:val="left"/>
              <w:rPr>
                <w:rFonts w:hint="eastAsia" w:ascii="宋体" w:hAnsi="宋体" w:eastAsia="宋体" w:cs="宋体"/>
              </w:rPr>
            </w:pPr>
            <w:r>
              <w:rPr>
                <w:rFonts w:hint="eastAsia" w:ascii="宋体" w:hAnsi="宋体" w:eastAsia="宋体" w:cs="宋体"/>
              </w:rPr>
              <w:t>（4）柜门、抽屉面板不小于20mm厚，采用双层设计，不小于1.0mm厚冷轧钢板，中间填充隔音材料，柜门及抽屉内侧装有防撞贴，抽屉底部和四面抽墙为一体折弯成型；</w:t>
            </w:r>
          </w:p>
          <w:p w14:paraId="389F484D">
            <w:pPr>
              <w:jc w:val="left"/>
              <w:rPr>
                <w:rFonts w:hint="eastAsia" w:ascii="宋体" w:hAnsi="宋体" w:eastAsia="宋体" w:cs="宋体"/>
              </w:rPr>
            </w:pPr>
            <w:r>
              <w:rPr>
                <w:rFonts w:hint="eastAsia" w:ascii="宋体" w:hAnsi="宋体" w:eastAsia="宋体" w:cs="宋体"/>
              </w:rPr>
              <w:t>（5）内置活动层板（选配），不小于1.0mm厚冷轧钢板，可自由上下调节高度。层板由四个编号S304以上的不锈钢层板扣支撑，承重为大于50kg；</w:t>
            </w:r>
          </w:p>
          <w:p w14:paraId="5640DEAD">
            <w:pPr>
              <w:jc w:val="left"/>
              <w:rPr>
                <w:rFonts w:hint="eastAsia" w:ascii="宋体" w:hAnsi="宋体" w:eastAsia="宋体" w:cs="宋体"/>
              </w:rPr>
            </w:pPr>
            <w:r>
              <w:rPr>
                <w:rFonts w:hint="eastAsia" w:ascii="宋体" w:hAnsi="宋体" w:eastAsia="宋体" w:cs="宋体"/>
              </w:rPr>
              <w:t>（6）所有柜体四周及顶部表面和打开门板抽屉及柜体内部结构在可视范围内不得有焊点影响柜子美观度；</w:t>
            </w:r>
          </w:p>
          <w:p w14:paraId="63618AE0">
            <w:pPr>
              <w:jc w:val="left"/>
              <w:rPr>
                <w:rFonts w:hint="eastAsia" w:ascii="宋体" w:hAnsi="宋体" w:eastAsia="宋体" w:cs="宋体"/>
              </w:rPr>
            </w:pPr>
            <w:r>
              <w:rPr>
                <w:rFonts w:hint="eastAsia" w:ascii="宋体" w:hAnsi="宋体" w:eastAsia="宋体" w:cs="宋体"/>
              </w:rPr>
              <w:t>（7）合页：304不锈钢合页，开启角度达180度以上。其性能要求如下（需提供具有符合CMA 或CNAS认可的第三方检测机构出具的检测报告）：</w:t>
            </w:r>
          </w:p>
          <w:p w14:paraId="31D160E7">
            <w:pPr>
              <w:jc w:val="left"/>
              <w:rPr>
                <w:rFonts w:hint="eastAsia" w:ascii="宋体" w:hAnsi="宋体" w:eastAsia="宋体" w:cs="宋体"/>
              </w:rPr>
            </w:pPr>
          </w:p>
          <w:p w14:paraId="2E0E2881">
            <w:pPr>
              <w:jc w:val="left"/>
              <w:rPr>
                <w:rFonts w:hint="eastAsia" w:ascii="宋体" w:hAnsi="宋体" w:eastAsia="宋体" w:cs="宋体"/>
              </w:rPr>
            </w:pPr>
            <w:r>
              <w:rPr>
                <w:rFonts w:hint="eastAsia" w:ascii="宋体" w:hAnsi="宋体" w:eastAsia="宋体" w:cs="宋体"/>
              </w:rPr>
              <w:t xml:space="preserve">★1）合页功能依据QB/T2189-2013《家具五金杯状暗铰链》检测标准，在使用调整系统前，安装A型试验门时，其下沉量不应大于 2.0mm； </w:t>
            </w:r>
          </w:p>
          <w:p w14:paraId="1BF1BD1F">
            <w:pPr>
              <w:jc w:val="left"/>
              <w:rPr>
                <w:rFonts w:hint="eastAsia" w:ascii="宋体" w:hAnsi="宋体" w:eastAsia="宋体" w:cs="宋体"/>
              </w:rPr>
            </w:pPr>
            <w:r>
              <w:rPr>
                <w:rFonts w:hint="eastAsia" w:ascii="宋体" w:hAnsi="宋体" w:eastAsia="宋体" w:cs="宋体"/>
              </w:rPr>
              <w:t>★2）盐雾测试依据QB/T 3826-1999 《轻工产品金属镀层和化学处理层的耐腐蚀试验方法中心盐雾试验（NSS）法》检测标准，经过480小时中性盐雾测试，镀(涂)层本身耐腐蚀等级等级≥10级，镀(涂)层对基体耐腐蚀等级≥10级。</w:t>
            </w:r>
          </w:p>
          <w:p w14:paraId="7A8A304F">
            <w:pPr>
              <w:jc w:val="left"/>
              <w:rPr>
                <w:rFonts w:hint="eastAsia" w:ascii="宋体" w:hAnsi="宋体" w:eastAsia="宋体" w:cs="宋体"/>
              </w:rPr>
            </w:pPr>
            <w:r>
              <w:rPr>
                <w:rFonts w:hint="eastAsia" w:ascii="宋体" w:hAnsi="宋体" w:eastAsia="宋体" w:cs="宋体"/>
              </w:rPr>
              <w:t xml:space="preserve"> </w:t>
            </w:r>
          </w:p>
          <w:p w14:paraId="44B4A322">
            <w:pPr>
              <w:jc w:val="left"/>
              <w:rPr>
                <w:rFonts w:hint="eastAsia" w:ascii="宋体" w:hAnsi="宋体" w:eastAsia="宋体" w:cs="宋体"/>
              </w:rPr>
            </w:pPr>
            <w:r>
              <w:rPr>
                <w:rFonts w:hint="eastAsia" w:ascii="宋体" w:hAnsi="宋体" w:eastAsia="宋体" w:cs="宋体"/>
              </w:rPr>
              <w:t>（8）抽屉导轨为三节静音轨道，开合平稳，承重力强，耐磨；其性能要求达到以下条件（需提供具有符合CMA 或CNAS认可的第三方检测机构出具的检测报告）：</w:t>
            </w:r>
          </w:p>
          <w:p w14:paraId="740E8C18">
            <w:pPr>
              <w:jc w:val="left"/>
              <w:rPr>
                <w:rFonts w:hint="eastAsia" w:ascii="宋体" w:hAnsi="宋体" w:eastAsia="宋体" w:cs="宋体"/>
              </w:rPr>
            </w:pPr>
            <w:r>
              <w:rPr>
                <w:rFonts w:hint="eastAsia" w:ascii="宋体" w:hAnsi="宋体" w:eastAsia="宋体" w:cs="宋体"/>
              </w:rPr>
              <w:t>★1）依据QB/T 2454-2013标准要求垂直向下静载荷200N，水平侧向静载荷100N，猛开或猛关各10次，均无损坏；</w:t>
            </w:r>
          </w:p>
          <w:p w14:paraId="695EAB8B">
            <w:pPr>
              <w:jc w:val="left"/>
              <w:rPr>
                <w:rFonts w:hint="eastAsia" w:ascii="宋体" w:hAnsi="宋体" w:eastAsia="宋体" w:cs="宋体"/>
              </w:rPr>
            </w:pPr>
            <w:r>
              <w:rPr>
                <w:rFonts w:hint="eastAsia" w:ascii="宋体" w:hAnsi="宋体" w:eastAsia="宋体" w:cs="宋体"/>
              </w:rPr>
              <w:t>★2）依据QB/T 3832-1999《轻工产品金属镀层腐蚀试验结果的评价》和QB/T 3826-1999《轻工产品金属镀层和化学处理层的耐腐蚀试验方法 中性盐雾试验(NSS)法》检测标准，中性盐雾试验≥480小时，镀（涂)层对基体的保护等级≥10级，镀（涂)层本身耐腐蚀等级≥10级</w:t>
            </w:r>
          </w:p>
          <w:p w14:paraId="0937E2CA">
            <w:pPr>
              <w:jc w:val="left"/>
              <w:rPr>
                <w:rFonts w:hint="eastAsia" w:ascii="宋体" w:hAnsi="宋体" w:eastAsia="宋体" w:cs="宋体"/>
              </w:rPr>
            </w:pPr>
            <w:r>
              <w:rPr>
                <w:rFonts w:hint="eastAsia" w:ascii="宋体" w:hAnsi="宋体" w:eastAsia="宋体" w:cs="宋体"/>
              </w:rPr>
              <w:t>★3）乙酸盐雾试验≥240小时，镀（涂)层对基体的保护等级≥10级，镀（涂)层本身耐腐蚀等级≥10级。</w:t>
            </w:r>
          </w:p>
          <w:p w14:paraId="31A32F2B">
            <w:pPr>
              <w:jc w:val="left"/>
              <w:rPr>
                <w:rFonts w:hint="eastAsia" w:ascii="宋体" w:hAnsi="宋体" w:eastAsia="宋体" w:cs="宋体"/>
              </w:rPr>
            </w:pPr>
            <w:r>
              <w:rPr>
                <w:rFonts w:hint="eastAsia" w:ascii="宋体" w:hAnsi="宋体" w:eastAsia="宋体" w:cs="宋体"/>
              </w:rPr>
              <w:t xml:space="preserve">（9）座位空间：前侧横梁式，后侧配封板，不小于1.0mm厚冷轧钢板，表面喷涂环氧树脂粉末，喷涂厚度≥75µm； </w:t>
            </w:r>
          </w:p>
          <w:p w14:paraId="12636EF7">
            <w:pPr>
              <w:jc w:val="left"/>
              <w:rPr>
                <w:rFonts w:hint="eastAsia" w:ascii="宋体" w:hAnsi="宋体" w:eastAsia="宋体" w:cs="宋体"/>
              </w:rPr>
            </w:pPr>
            <w:r>
              <w:rPr>
                <w:rFonts w:hint="eastAsia" w:ascii="宋体" w:hAnsi="宋体" w:eastAsia="宋体" w:cs="宋体"/>
              </w:rPr>
              <w:t>（10）踢脚板除正面凹入部分外，两侧需与柜体钢板一体成型，不得以小料拼接烧焊制作，以确保整体承重能力；</w:t>
            </w:r>
          </w:p>
          <w:p w14:paraId="24DA54D0">
            <w:pPr>
              <w:jc w:val="left"/>
              <w:rPr>
                <w:rFonts w:hint="eastAsia" w:ascii="宋体" w:hAnsi="宋体" w:eastAsia="宋体" w:cs="宋体"/>
              </w:rPr>
            </w:pPr>
            <w:r>
              <w:rPr>
                <w:rFonts w:hint="eastAsia" w:ascii="宋体" w:hAnsi="宋体" w:eastAsia="宋体" w:cs="宋体"/>
              </w:rPr>
              <w:t>（11）地脚：采用不锈钢可调整支撑脚，支撑稳固，可根据现场地面自由调节水平高度；采用隐藏式内嵌结构，安装后无外露部件，有效减少积尘、便于清洁维护，符合实验室洁净使用要求。</w:t>
            </w:r>
          </w:p>
          <w:p w14:paraId="256F5B99">
            <w:pPr>
              <w:jc w:val="left"/>
              <w:rPr>
                <w:rFonts w:hint="eastAsia" w:ascii="宋体" w:hAnsi="宋体" w:eastAsia="宋体" w:cs="宋体"/>
              </w:rPr>
            </w:pPr>
            <w:r>
              <w:rPr>
                <w:rFonts w:hint="eastAsia" w:ascii="宋体" w:hAnsi="宋体" w:eastAsia="宋体" w:cs="宋体"/>
              </w:rPr>
              <w:t>（12）所有柜子配件组装需采用编号SS304以上的不锈钢螺丝，以免螺丝生锈影响性能和美观；</w:t>
            </w:r>
          </w:p>
          <w:p w14:paraId="33CE69A9">
            <w:pPr>
              <w:jc w:val="left"/>
              <w:rPr>
                <w:rFonts w:hint="eastAsia" w:ascii="宋体" w:hAnsi="宋体" w:eastAsia="宋体" w:cs="宋体"/>
              </w:rPr>
            </w:pPr>
            <w:r>
              <w:rPr>
                <w:rFonts w:hint="eastAsia" w:ascii="宋体" w:hAnsi="宋体" w:eastAsia="宋体" w:cs="宋体"/>
              </w:rPr>
              <w:t>（13）柜体表面喷涂性能要求：</w:t>
            </w:r>
          </w:p>
          <w:p w14:paraId="79C4BE25">
            <w:pPr>
              <w:jc w:val="left"/>
              <w:rPr>
                <w:rFonts w:hint="eastAsia" w:ascii="宋体" w:hAnsi="宋体" w:eastAsia="宋体" w:cs="宋体"/>
              </w:rPr>
            </w:pPr>
            <w:r>
              <w:rPr>
                <w:rFonts w:hint="eastAsia" w:ascii="宋体" w:hAnsi="宋体" w:eastAsia="宋体" w:cs="宋体"/>
              </w:rPr>
              <w:t>1）化学试剂痕迹试验：耐指定的49种化学试剂，漆面结果是等级3的情况不应多于4个；</w:t>
            </w:r>
          </w:p>
          <w:p w14:paraId="5488B8F2">
            <w:pPr>
              <w:jc w:val="left"/>
              <w:rPr>
                <w:rFonts w:hint="eastAsia" w:ascii="宋体" w:hAnsi="宋体" w:eastAsia="宋体" w:cs="宋体"/>
              </w:rPr>
            </w:pPr>
            <w:r>
              <w:rPr>
                <w:rFonts w:hint="eastAsia" w:ascii="宋体" w:hAnsi="宋体" w:eastAsia="宋体" w:cs="宋体"/>
              </w:rPr>
              <w:t>2）产品表面涂层可迁移元素的限量，金属件喷涂层性能：其中锑、砷、钡镉、铬、铅、汞、硒重金属物检测结果为未检出</w:t>
            </w:r>
          </w:p>
          <w:p w14:paraId="1654D923">
            <w:pPr>
              <w:jc w:val="left"/>
              <w:rPr>
                <w:rFonts w:hint="eastAsia" w:ascii="宋体" w:hAnsi="宋体" w:eastAsia="宋体" w:cs="宋体"/>
              </w:rPr>
            </w:pPr>
            <w:r>
              <w:rPr>
                <w:rFonts w:hint="eastAsia" w:ascii="宋体" w:hAnsi="宋体" w:eastAsia="宋体" w:cs="宋体"/>
              </w:rPr>
              <w:t>3）硬度试验：漆膜硬度应在 4H 铅笔硬度或以上。</w:t>
            </w:r>
          </w:p>
          <w:p w14:paraId="05F77402">
            <w:pPr>
              <w:jc w:val="left"/>
              <w:rPr>
                <w:rFonts w:hint="eastAsia" w:ascii="宋体" w:hAnsi="宋体" w:eastAsia="宋体" w:cs="宋体"/>
              </w:rPr>
            </w:pPr>
            <w:r>
              <w:rPr>
                <w:rFonts w:hint="eastAsia" w:ascii="宋体" w:hAnsi="宋体" w:eastAsia="宋体" w:cs="宋体"/>
              </w:rPr>
              <w:t>4）冲击试验：试验板放置于光滑混凝土地面。重量 1lb(直径约 2"(50.8mm))的球从 12'(304.8mm)高度跌落到水平漆面上。无冲击产生的裂纹或龟裂。</w:t>
            </w:r>
          </w:p>
          <w:p w14:paraId="4A3E8043">
            <w:pPr>
              <w:jc w:val="left"/>
              <w:rPr>
                <w:rFonts w:hint="eastAsia" w:ascii="宋体" w:hAnsi="宋体" w:eastAsia="宋体" w:cs="宋体"/>
              </w:rPr>
            </w:pPr>
            <w:r>
              <w:rPr>
                <w:rFonts w:hint="eastAsia" w:ascii="宋体" w:hAnsi="宋体" w:eastAsia="宋体" w:cs="宋体"/>
              </w:rPr>
              <w:t>5）油漆附着测试：等级≥5B。</w:t>
            </w:r>
          </w:p>
          <w:p w14:paraId="17E6A7AC">
            <w:pPr>
              <w:jc w:val="left"/>
              <w:rPr>
                <w:rFonts w:hint="eastAsia" w:ascii="宋体" w:hAnsi="宋体" w:eastAsia="宋体" w:cs="宋体"/>
              </w:rPr>
            </w:pPr>
            <w:r>
              <w:rPr>
                <w:rFonts w:hint="eastAsia" w:ascii="宋体" w:hAnsi="宋体" w:eastAsia="宋体" w:cs="宋体"/>
              </w:rPr>
              <w:t>★6）依据GB/T 229-2020标准： 冲击吸收能量≥27 KV(J)</w:t>
            </w:r>
          </w:p>
          <w:p w14:paraId="3C7BC29A">
            <w:pPr>
              <w:jc w:val="left"/>
              <w:rPr>
                <w:rFonts w:hint="eastAsia" w:ascii="宋体" w:hAnsi="宋体" w:eastAsia="宋体" w:cs="宋体"/>
              </w:rPr>
            </w:pPr>
            <w:r>
              <w:rPr>
                <w:rFonts w:hint="eastAsia" w:ascii="宋体" w:hAnsi="宋体" w:eastAsia="宋体" w:cs="宋体"/>
              </w:rPr>
              <w:t>★7）依据GB/T 13298-2015《金属显微组织检验方法》标准检测，检测结果为铁素体+珠光体</w:t>
            </w:r>
          </w:p>
          <w:p w14:paraId="2A910F30">
            <w:pPr>
              <w:jc w:val="left"/>
              <w:rPr>
                <w:rFonts w:hint="eastAsia" w:ascii="宋体" w:hAnsi="宋体" w:eastAsia="宋体" w:cs="宋体"/>
              </w:rPr>
            </w:pPr>
            <w:r>
              <w:rPr>
                <w:rFonts w:hint="eastAsia" w:ascii="宋体" w:hAnsi="宋体" w:eastAsia="宋体" w:cs="宋体"/>
              </w:rPr>
              <w:t>1.2钢板性能要求如下（需提供具有符合CMA 、CNAS认可的第三方检测机构出具的检测报告）：</w:t>
            </w:r>
          </w:p>
          <w:p w14:paraId="46D0D174">
            <w:pPr>
              <w:jc w:val="left"/>
              <w:rPr>
                <w:rFonts w:hint="eastAsia" w:ascii="宋体" w:hAnsi="宋体" w:eastAsia="宋体" w:cs="宋体"/>
              </w:rPr>
            </w:pPr>
            <w:r>
              <w:rPr>
                <w:rFonts w:hint="eastAsia" w:ascii="宋体" w:hAnsi="宋体" w:eastAsia="宋体" w:cs="宋体"/>
              </w:rPr>
              <w:t>★1.2.1环氧树脂喷涂过的钢板，产品表面涂层可迁移元素的限量锑(Sb)、砷(As)、钡(Ba)、镉(Cd)、铬(Cr)、铅(Pb)、汞(Hg)、硒(Se)未检出。</w:t>
            </w:r>
          </w:p>
          <w:p w14:paraId="75E36490">
            <w:pPr>
              <w:jc w:val="left"/>
              <w:rPr>
                <w:rFonts w:hint="eastAsia" w:ascii="宋体" w:hAnsi="宋体" w:eastAsia="宋体" w:cs="宋体"/>
              </w:rPr>
            </w:pPr>
            <w:r>
              <w:rPr>
                <w:rFonts w:hint="eastAsia" w:ascii="宋体" w:hAnsi="宋体" w:eastAsia="宋体" w:cs="宋体"/>
              </w:rPr>
              <w:t>★1.2.2依据GB/T 1720-2020标准，附着力≤ 1 级；依据QB/T 3827-1999标准或GB/T10125-2021《人造气氛腐蚀试验 盐雾试验》标准，耐腐蚀试验通过 48h 乙酸盐雾试验，外观评级≥9 级。</w:t>
            </w:r>
          </w:p>
          <w:p w14:paraId="64E5CB08">
            <w:pPr>
              <w:jc w:val="left"/>
              <w:rPr>
                <w:rFonts w:hint="eastAsia" w:ascii="宋体" w:hAnsi="宋体" w:eastAsia="宋体" w:cs="宋体"/>
              </w:rPr>
            </w:pPr>
            <w:r>
              <w:rPr>
                <w:rFonts w:hint="eastAsia" w:ascii="宋体" w:hAnsi="宋体" w:eastAsia="宋体" w:cs="宋体"/>
              </w:rPr>
              <w:t>★1.2.3耐酸碱试验(光泽60°）：依据GB/T 13448-2019标准，无失光、变色、起泡、脱落，综合评定0级(失光率≤2.8%，色差AE*≤0.39)</w:t>
            </w:r>
          </w:p>
          <w:p w14:paraId="43729709">
            <w:pPr>
              <w:jc w:val="left"/>
              <w:rPr>
                <w:rFonts w:hint="eastAsia" w:ascii="宋体" w:hAnsi="宋体" w:eastAsia="宋体" w:cs="宋体"/>
              </w:rPr>
            </w:pPr>
          </w:p>
          <w:p w14:paraId="61D8198E">
            <w:pPr>
              <w:jc w:val="left"/>
              <w:rPr>
                <w:rFonts w:hint="eastAsia" w:ascii="宋体" w:hAnsi="宋体" w:eastAsia="宋体" w:cs="宋体"/>
              </w:rPr>
            </w:pPr>
            <w:r>
              <w:rPr>
                <w:rFonts w:hint="eastAsia" w:ascii="宋体" w:hAnsi="宋体" w:eastAsia="宋体" w:cs="宋体"/>
              </w:rPr>
              <w:t>1.3实验台力学性能要求（需提供具有符合CMA 、CNAS认可的第三方检测机构出具的检测报告）：</w:t>
            </w:r>
          </w:p>
          <w:p w14:paraId="76AE3D60">
            <w:pPr>
              <w:jc w:val="left"/>
              <w:rPr>
                <w:rFonts w:hint="eastAsia" w:ascii="宋体" w:hAnsi="宋体" w:eastAsia="宋体" w:cs="宋体"/>
              </w:rPr>
            </w:pPr>
            <w:r>
              <w:rPr>
                <w:rFonts w:hint="eastAsia" w:ascii="宋体" w:hAnsi="宋体" w:eastAsia="宋体" w:cs="宋体"/>
              </w:rPr>
              <w:t>★1.3.1实验台强度、独立式实验台稳定性：水平静载荷600N试验10次、垂直静载荷2000N试验10次，零部件无断裂或豁裂，用手揿压某些应为牢固的部件无永久性松动，零部件无严重影响使用功能的磨损或变形，五金连接件无松动，活动部件的开关灵便。</w:t>
            </w:r>
          </w:p>
          <w:p w14:paraId="65292FFB">
            <w:pPr>
              <w:jc w:val="left"/>
              <w:rPr>
                <w:rFonts w:hint="eastAsia" w:ascii="宋体" w:hAnsi="宋体" w:eastAsia="宋体" w:cs="宋体"/>
              </w:rPr>
            </w:pPr>
            <w:r>
              <w:rPr>
                <w:rFonts w:hint="eastAsia" w:ascii="宋体" w:hAnsi="宋体" w:eastAsia="宋体" w:cs="宋体"/>
              </w:rPr>
              <w:t>★1.3.2、实验台强度、独立式实验台稳定性-水平冲击稳定性试验(质量50kg，高度40mm)，产品不应倾翻。</w:t>
            </w:r>
          </w:p>
          <w:p w14:paraId="13CCE940">
            <w:pPr>
              <w:jc w:val="left"/>
              <w:rPr>
                <w:rFonts w:hint="eastAsia" w:ascii="宋体" w:hAnsi="宋体" w:eastAsia="宋体" w:cs="宋体"/>
              </w:rPr>
            </w:pPr>
            <w:r>
              <w:rPr>
                <w:rFonts w:hint="eastAsia" w:ascii="宋体" w:hAnsi="宋体" w:eastAsia="宋体" w:cs="宋体"/>
              </w:rPr>
              <w:t>1.4台面要求</w:t>
            </w:r>
          </w:p>
          <w:p w14:paraId="6362178E">
            <w:pPr>
              <w:jc w:val="left"/>
              <w:rPr>
                <w:rFonts w:hint="eastAsia" w:ascii="宋体" w:hAnsi="宋体" w:eastAsia="宋体" w:cs="宋体"/>
              </w:rPr>
            </w:pPr>
            <w:r>
              <w:rPr>
                <w:rFonts w:hint="eastAsia" w:ascii="宋体" w:hAnsi="宋体" w:eastAsia="宋体" w:cs="宋体"/>
              </w:rPr>
              <w:t>台面采用≥20mm岩板级陶瓷，属于A1级别不燃材料；一体实芯黑色坯体烧制，中间无黄锈色夹层；使用进口釉面，漫反射性能好，呈现哑光色泽。需提供质量承诺书以及提供台面品牌厂家符合以下所有技术参数指标的检测报告复印件，检测报告须标注专用于本项目投标使用字样，并加盖陶瓷品牌厂家鲜章。</w:t>
            </w:r>
          </w:p>
          <w:p w14:paraId="10FBBF7F">
            <w:pPr>
              <w:jc w:val="left"/>
              <w:rPr>
                <w:rFonts w:hint="eastAsia" w:ascii="宋体" w:hAnsi="宋体" w:eastAsia="宋体" w:cs="宋体"/>
              </w:rPr>
            </w:pPr>
            <w:r>
              <w:rPr>
                <w:rFonts w:hint="eastAsia" w:ascii="宋体" w:hAnsi="宋体" w:eastAsia="宋体" w:cs="宋体"/>
              </w:rPr>
              <w:t>★1、尺寸偏差：提供检测机构出具的检测报告，样品尺寸≥3000mm×750mm×20mm、≥1000mm×1000mm×20mm进行检测，检测要求为：长度偏差：±2mm；宽度偏差：±2mm；厚度偏差：±0.50mm；垂直度≤1mm/m；边缘直度≤1mm/m；平整度≤1mm/m，检测结果为：符合。</w:t>
            </w:r>
          </w:p>
          <w:p w14:paraId="0D67DED2">
            <w:pPr>
              <w:jc w:val="left"/>
              <w:rPr>
                <w:rFonts w:hint="eastAsia" w:ascii="宋体" w:hAnsi="宋体" w:eastAsia="宋体" w:cs="宋体"/>
              </w:rPr>
            </w:pPr>
            <w:r>
              <w:rPr>
                <w:rFonts w:hint="eastAsia" w:ascii="宋体" w:hAnsi="宋体" w:eastAsia="宋体" w:cs="宋体"/>
              </w:rPr>
              <w:t>★2、表面质量（%）：提供检测机构出具的检测报告，检验类别为抽样检验，抽样地点：生产公司成品库，样品基数≥3000块，样品数量≥8块，技术要求：至少98%的陶瓷台面其主要区域无明显缺陷，检验结果为100%。</w:t>
            </w:r>
          </w:p>
          <w:p w14:paraId="437819B7">
            <w:pPr>
              <w:jc w:val="left"/>
              <w:rPr>
                <w:rFonts w:hint="eastAsia" w:ascii="宋体" w:hAnsi="宋体" w:eastAsia="宋体" w:cs="宋体"/>
              </w:rPr>
            </w:pPr>
            <w:r>
              <w:rPr>
                <w:rFonts w:hint="eastAsia" w:ascii="宋体" w:hAnsi="宋体" w:eastAsia="宋体" w:cs="宋体"/>
              </w:rPr>
              <w:t>3、抗冲击性：提供检测机构出具的检测报告，检测结果为≥0.86。</w:t>
            </w:r>
          </w:p>
          <w:p w14:paraId="3A9D68FF">
            <w:pPr>
              <w:jc w:val="left"/>
              <w:rPr>
                <w:rFonts w:hint="eastAsia" w:ascii="宋体" w:hAnsi="宋体" w:eastAsia="宋体" w:cs="宋体"/>
              </w:rPr>
            </w:pPr>
            <w:r>
              <w:rPr>
                <w:rFonts w:hint="eastAsia" w:ascii="宋体" w:hAnsi="宋体" w:eastAsia="宋体" w:cs="宋体"/>
              </w:rPr>
              <w:t>★4、耐化学/耐污性能要求：提供检测机构出具的检测报告，要求检测样品为抽检样，型号包含普通平板陶瓷板（总厚度：20MM）；普通碟型陶瓷板（总厚度：25MM），检测报告中应包含有不少于49种检测试剂,且检测结果等级为0级（无可见变化）的不少于46项。</w:t>
            </w:r>
          </w:p>
          <w:p w14:paraId="708BD81A">
            <w:pPr>
              <w:jc w:val="left"/>
              <w:rPr>
                <w:rFonts w:hint="eastAsia" w:ascii="宋体" w:hAnsi="宋体" w:eastAsia="宋体" w:cs="宋体"/>
              </w:rPr>
            </w:pPr>
            <w:r>
              <w:rPr>
                <w:rFonts w:hint="eastAsia" w:ascii="宋体" w:hAnsi="宋体" w:eastAsia="宋体" w:cs="宋体"/>
              </w:rPr>
              <w:t>5、承载性能：提供检测机构出具的检测报告，检测结果为：重量不低于700kg保压时间不少于600h，样品无破坏。</w:t>
            </w:r>
          </w:p>
          <w:p w14:paraId="1E7933D9">
            <w:pPr>
              <w:jc w:val="left"/>
              <w:rPr>
                <w:rFonts w:hint="eastAsia" w:ascii="宋体" w:hAnsi="宋体" w:eastAsia="宋体" w:cs="宋体"/>
              </w:rPr>
            </w:pPr>
            <w:r>
              <w:rPr>
                <w:rFonts w:hint="eastAsia" w:ascii="宋体" w:hAnsi="宋体" w:eastAsia="宋体" w:cs="宋体"/>
              </w:rPr>
              <w:t>★6、放射性：提供检测机构出具的检测报告,检测样品为一体实芯黑色坯体陶瓷板（抽检样），测试结果为：核素的放射性比活度，镭-226≤108Bq/kg,钍-232≤125Bq/kg,钾-40≤800Bq/kg。</w:t>
            </w:r>
          </w:p>
        </w:tc>
        <w:tc>
          <w:tcPr>
            <w:tcW w:w="398" w:type="pct"/>
            <w:noWrap/>
            <w:vAlign w:val="center"/>
          </w:tcPr>
          <w:p w14:paraId="7157BD77">
            <w:pPr>
              <w:jc w:val="center"/>
              <w:rPr>
                <w:rFonts w:hint="eastAsia" w:ascii="宋体" w:hAnsi="宋体" w:eastAsia="宋体" w:cs="宋体"/>
              </w:rPr>
            </w:pPr>
            <w:r>
              <w:rPr>
                <w:rFonts w:hint="eastAsia" w:ascii="宋体" w:hAnsi="宋体" w:eastAsia="宋体" w:cs="宋体"/>
              </w:rPr>
              <w:t>组</w:t>
            </w:r>
          </w:p>
        </w:tc>
        <w:tc>
          <w:tcPr>
            <w:tcW w:w="441" w:type="pct"/>
            <w:noWrap/>
            <w:vAlign w:val="center"/>
          </w:tcPr>
          <w:p w14:paraId="3705373E">
            <w:pPr>
              <w:jc w:val="center"/>
              <w:rPr>
                <w:rFonts w:hint="eastAsia" w:ascii="宋体" w:hAnsi="宋体" w:eastAsia="宋体" w:cs="宋体"/>
              </w:rPr>
            </w:pPr>
            <w:r>
              <w:rPr>
                <w:rFonts w:hint="eastAsia" w:ascii="宋体" w:hAnsi="宋体" w:eastAsia="宋体" w:cs="宋体"/>
              </w:rPr>
              <w:t>1</w:t>
            </w:r>
          </w:p>
        </w:tc>
        <w:tc>
          <w:tcPr>
            <w:tcW w:w="449" w:type="pct"/>
            <w:noWrap/>
            <w:vAlign w:val="center"/>
          </w:tcPr>
          <w:p w14:paraId="60FE1DBF">
            <w:pPr>
              <w:jc w:val="center"/>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0</w:t>
            </w:r>
            <w:r>
              <w:rPr>
                <w:rFonts w:hint="eastAsia" w:ascii="宋体" w:hAnsi="宋体" w:eastAsia="宋体" w:cs="宋体"/>
              </w:rPr>
              <w:t>000</w:t>
            </w:r>
          </w:p>
        </w:tc>
        <w:tc>
          <w:tcPr>
            <w:tcW w:w="482" w:type="pct"/>
            <w:noWrap/>
            <w:vAlign w:val="center"/>
          </w:tcPr>
          <w:p w14:paraId="3CD58030">
            <w:pPr>
              <w:jc w:val="center"/>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0</w:t>
            </w:r>
            <w:r>
              <w:rPr>
                <w:rFonts w:hint="eastAsia" w:ascii="宋体" w:hAnsi="宋体" w:eastAsia="宋体" w:cs="宋体"/>
              </w:rPr>
              <w:t>0</w:t>
            </w:r>
            <w:r>
              <w:rPr>
                <w:rFonts w:hint="eastAsia" w:ascii="宋体" w:hAnsi="宋体" w:eastAsia="宋体" w:cs="宋体"/>
                <w:lang w:val="en-US" w:eastAsia="zh-CN"/>
              </w:rPr>
              <w:t>0</w:t>
            </w:r>
            <w:r>
              <w:rPr>
                <w:rFonts w:hint="eastAsia" w:ascii="宋体" w:hAnsi="宋体" w:eastAsia="宋体" w:cs="宋体"/>
              </w:rPr>
              <w:t>0</w:t>
            </w:r>
          </w:p>
        </w:tc>
      </w:tr>
      <w:tr w14:paraId="7367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4" w:hRule="atLeast"/>
        </w:trPr>
        <w:tc>
          <w:tcPr>
            <w:tcW w:w="392" w:type="pct"/>
            <w:noWrap/>
            <w:vAlign w:val="center"/>
          </w:tcPr>
          <w:p w14:paraId="5AFA9214">
            <w:pPr>
              <w:jc w:val="center"/>
              <w:rPr>
                <w:rFonts w:hint="eastAsia" w:ascii="宋体" w:hAnsi="宋体" w:eastAsia="宋体" w:cs="宋体"/>
                <w:lang w:eastAsia="zh-CN"/>
              </w:rPr>
            </w:pPr>
            <w:r>
              <w:rPr>
                <w:rFonts w:hint="eastAsia" w:ascii="宋体" w:hAnsi="宋体" w:eastAsia="宋体" w:cs="宋体"/>
                <w:lang w:val="en-US" w:eastAsia="zh-CN"/>
              </w:rPr>
              <w:t>2</w:t>
            </w:r>
          </w:p>
        </w:tc>
        <w:tc>
          <w:tcPr>
            <w:tcW w:w="678" w:type="pct"/>
            <w:noWrap/>
            <w:vAlign w:val="center"/>
          </w:tcPr>
          <w:p w14:paraId="59C2F084">
            <w:pPr>
              <w:jc w:val="center"/>
              <w:rPr>
                <w:rFonts w:hint="eastAsia" w:ascii="宋体" w:hAnsi="宋体" w:eastAsia="宋体" w:cs="宋体"/>
              </w:rPr>
            </w:pPr>
            <w:r>
              <w:rPr>
                <w:rFonts w:ascii="宋体" w:hAnsi="宋体" w:eastAsia="宋体" w:cs="宋体"/>
              </w:rPr>
              <w:br w:type="textWrapping"/>
            </w:r>
            <w:r>
              <w:rPr>
                <w:rFonts w:hint="eastAsia" w:ascii="宋体" w:hAnsi="宋体" w:eastAsia="宋体" w:cs="宋体"/>
              </w:rPr>
              <w:t>全钢实验边台</w:t>
            </w:r>
          </w:p>
        </w:tc>
        <w:tc>
          <w:tcPr>
            <w:tcW w:w="2156" w:type="pct"/>
            <w:vAlign w:val="center"/>
          </w:tcPr>
          <w:p w14:paraId="160BA1B3">
            <w:pPr>
              <w:jc w:val="left"/>
              <w:rPr>
                <w:rFonts w:hint="eastAsia" w:ascii="宋体" w:hAnsi="宋体" w:eastAsia="宋体" w:cs="宋体"/>
              </w:rPr>
            </w:pPr>
            <w:r>
              <w:rPr>
                <w:rFonts w:hint="eastAsia" w:ascii="宋体" w:hAnsi="宋体" w:eastAsia="宋体" w:cs="宋体"/>
                <w:b w:val="0"/>
                <w:bCs w:val="0"/>
              </w:rPr>
              <w:t>1、边台：</w:t>
            </w:r>
            <w:r>
              <w:rPr>
                <w:rFonts w:hint="eastAsia" w:ascii="宋体" w:hAnsi="宋体" w:eastAsia="宋体" w:cs="宋体"/>
                <w:lang w:val="en-US" w:eastAsia="zh-CN"/>
              </w:rPr>
              <w:t>规格：53</w:t>
            </w:r>
            <w:r>
              <w:rPr>
                <w:rFonts w:hint="eastAsia" w:ascii="宋体" w:hAnsi="宋体" w:eastAsia="宋体" w:cs="宋体"/>
              </w:rPr>
              <w:t>00*</w:t>
            </w:r>
            <w:r>
              <w:rPr>
                <w:rFonts w:hint="eastAsia" w:ascii="宋体" w:hAnsi="宋体" w:eastAsia="宋体" w:cs="宋体"/>
                <w:lang w:val="en-US" w:eastAsia="zh-CN"/>
              </w:rPr>
              <w:t>75</w:t>
            </w:r>
            <w:r>
              <w:rPr>
                <w:rFonts w:hint="eastAsia" w:ascii="宋体" w:hAnsi="宋体" w:eastAsia="宋体" w:cs="宋体"/>
              </w:rPr>
              <w:t>0*800mm</w:t>
            </w:r>
          </w:p>
          <w:p w14:paraId="23AD1967">
            <w:pPr>
              <w:jc w:val="left"/>
              <w:rPr>
                <w:rFonts w:hint="eastAsia" w:ascii="宋体" w:hAnsi="宋体" w:eastAsia="宋体" w:cs="宋体"/>
                <w:b w:val="0"/>
                <w:bCs w:val="0"/>
              </w:rPr>
            </w:pPr>
          </w:p>
          <w:p w14:paraId="6E608582">
            <w:pPr>
              <w:jc w:val="left"/>
              <w:rPr>
                <w:rFonts w:hint="eastAsia" w:ascii="宋体" w:hAnsi="宋体" w:eastAsia="宋体" w:cs="宋体"/>
                <w:b w:val="0"/>
                <w:bCs w:val="0"/>
              </w:rPr>
            </w:pPr>
            <w:r>
              <w:rPr>
                <w:rFonts w:hint="eastAsia" w:ascii="宋体" w:hAnsi="宋体" w:eastAsia="宋体" w:cs="宋体"/>
                <w:b w:val="0"/>
                <w:bCs w:val="0"/>
              </w:rPr>
              <w:t>1.1实验台柜体技术规格</w:t>
            </w:r>
          </w:p>
          <w:p w14:paraId="20EBB2A4">
            <w:pPr>
              <w:jc w:val="left"/>
              <w:rPr>
                <w:rFonts w:hint="eastAsia" w:ascii="宋体" w:hAnsi="宋体" w:eastAsia="宋体" w:cs="宋体"/>
                <w:b w:val="0"/>
                <w:bCs w:val="0"/>
              </w:rPr>
            </w:pPr>
            <w:r>
              <w:rPr>
                <w:rFonts w:hint="eastAsia" w:ascii="宋体" w:hAnsi="宋体" w:eastAsia="宋体" w:cs="宋体"/>
                <w:b w:val="0"/>
                <w:bCs w:val="0"/>
              </w:rPr>
              <w:t>（1）★实验室家具的设计制造标准及总体性能应符合以下标准且需具有符合CMA或CNAS认可的第三方检测机构出具的检测报告：</w:t>
            </w:r>
          </w:p>
          <w:p w14:paraId="6E560793">
            <w:pPr>
              <w:jc w:val="left"/>
              <w:rPr>
                <w:rFonts w:hint="eastAsia" w:ascii="宋体" w:hAnsi="宋体" w:eastAsia="宋体" w:cs="宋体"/>
                <w:b w:val="0"/>
                <w:bCs w:val="0"/>
              </w:rPr>
            </w:pPr>
            <w:r>
              <w:rPr>
                <w:rFonts w:hint="eastAsia" w:ascii="宋体" w:hAnsi="宋体" w:eastAsia="宋体" w:cs="宋体"/>
                <w:b w:val="0"/>
                <w:bCs w:val="0"/>
              </w:rPr>
              <w:t>1）《金属材料夏比摆锤冲击试验方法》（GB/T 229-2020）；</w:t>
            </w:r>
          </w:p>
          <w:p w14:paraId="4B59F532">
            <w:pPr>
              <w:jc w:val="left"/>
              <w:rPr>
                <w:rFonts w:hint="eastAsia" w:ascii="宋体" w:hAnsi="宋体" w:eastAsia="宋体" w:cs="宋体"/>
                <w:b w:val="0"/>
                <w:bCs w:val="0"/>
              </w:rPr>
            </w:pPr>
            <w:r>
              <w:rPr>
                <w:rFonts w:hint="eastAsia" w:ascii="宋体" w:hAnsi="宋体" w:eastAsia="宋体" w:cs="宋体"/>
                <w:b w:val="0"/>
                <w:bCs w:val="0"/>
              </w:rPr>
              <w:t>2）《实验室家具通用技术条件》（GB 24820-2024）；</w:t>
            </w:r>
          </w:p>
          <w:p w14:paraId="43C03605">
            <w:pPr>
              <w:jc w:val="left"/>
              <w:rPr>
                <w:rFonts w:hint="eastAsia" w:ascii="宋体" w:hAnsi="宋体" w:eastAsia="宋体" w:cs="宋体"/>
                <w:b w:val="0"/>
                <w:bCs w:val="0"/>
              </w:rPr>
            </w:pPr>
            <w:r>
              <w:rPr>
                <w:rFonts w:hint="eastAsia" w:ascii="宋体" w:hAnsi="宋体" w:eastAsia="宋体" w:cs="宋体"/>
                <w:b w:val="0"/>
                <w:bCs w:val="0"/>
              </w:rPr>
              <w:t>3）《实验台的安全性能》（GB 28008-2024）</w:t>
            </w:r>
          </w:p>
          <w:p w14:paraId="71C9C680">
            <w:pPr>
              <w:jc w:val="left"/>
              <w:rPr>
                <w:rFonts w:hint="eastAsia" w:ascii="宋体" w:hAnsi="宋体" w:eastAsia="宋体" w:cs="宋体"/>
                <w:b w:val="0"/>
                <w:bCs w:val="0"/>
              </w:rPr>
            </w:pPr>
            <w:r>
              <w:rPr>
                <w:rFonts w:hint="eastAsia" w:ascii="宋体" w:hAnsi="宋体" w:eastAsia="宋体" w:cs="宋体"/>
                <w:b w:val="0"/>
                <w:bCs w:val="0"/>
              </w:rPr>
              <w:t>4）《环境标志产品技术要求 家具》（HJ 2547-2016）</w:t>
            </w:r>
          </w:p>
          <w:p w14:paraId="63B8B36E">
            <w:pPr>
              <w:jc w:val="left"/>
              <w:rPr>
                <w:rFonts w:hint="eastAsia" w:ascii="宋体" w:hAnsi="宋体" w:eastAsia="宋体" w:cs="宋体"/>
                <w:b w:val="0"/>
                <w:bCs w:val="0"/>
              </w:rPr>
            </w:pPr>
            <w:r>
              <w:rPr>
                <w:rFonts w:hint="eastAsia" w:ascii="宋体" w:hAnsi="宋体" w:eastAsia="宋体" w:cs="宋体"/>
                <w:b w:val="0"/>
                <w:bCs w:val="0"/>
              </w:rPr>
              <w:t>注：本★号项（全钢实验台）投标时需提供国内第三方出具的“检测报告”复印件，并加盖制造商公章。</w:t>
            </w:r>
          </w:p>
          <w:p w14:paraId="042E61C4">
            <w:pPr>
              <w:jc w:val="left"/>
              <w:rPr>
                <w:rFonts w:hint="eastAsia" w:ascii="宋体" w:hAnsi="宋体" w:eastAsia="宋体" w:cs="宋体"/>
                <w:b w:val="0"/>
                <w:bCs w:val="0"/>
              </w:rPr>
            </w:pPr>
            <w:r>
              <w:rPr>
                <w:rFonts w:hint="eastAsia" w:ascii="宋体" w:hAnsi="宋体" w:eastAsia="宋体" w:cs="宋体"/>
                <w:b w:val="0"/>
                <w:bCs w:val="0"/>
              </w:rPr>
              <w:t>（2）柜体采用不小于1.0mm厚冷轧钢板，</w:t>
            </w:r>
          </w:p>
          <w:p w14:paraId="7BCF1E09">
            <w:pPr>
              <w:jc w:val="left"/>
              <w:rPr>
                <w:rFonts w:hint="eastAsia" w:ascii="宋体" w:hAnsi="宋体" w:eastAsia="宋体" w:cs="宋体"/>
                <w:b w:val="0"/>
                <w:bCs w:val="0"/>
              </w:rPr>
            </w:pPr>
            <w:r>
              <w:rPr>
                <w:rFonts w:hint="eastAsia" w:ascii="宋体" w:hAnsi="宋体" w:eastAsia="宋体" w:cs="宋体"/>
                <w:b w:val="0"/>
                <w:bCs w:val="0"/>
              </w:rPr>
              <w:t>（3）柜体表面喷涂环氧树脂粉末，喷涂厚度≥75µm，表面喷涂均匀、色泽一致、无流挂、皱皮、鼓泡、凹陷、压痕；</w:t>
            </w:r>
          </w:p>
          <w:p w14:paraId="08332C2B">
            <w:pPr>
              <w:jc w:val="left"/>
              <w:rPr>
                <w:rFonts w:hint="eastAsia" w:ascii="宋体" w:hAnsi="宋体" w:eastAsia="宋体" w:cs="宋体"/>
                <w:b w:val="0"/>
                <w:bCs w:val="0"/>
              </w:rPr>
            </w:pPr>
            <w:r>
              <w:rPr>
                <w:rFonts w:hint="eastAsia" w:ascii="宋体" w:hAnsi="宋体" w:eastAsia="宋体" w:cs="宋体"/>
                <w:b w:val="0"/>
                <w:bCs w:val="0"/>
              </w:rPr>
              <w:t>（4）柜门、抽屉面板不小于20mm厚，采用双层设计，不小于1.0mm厚冷轧钢板，中间填充隔音材料，柜门及抽屉内侧装有防撞贴，抽屉底部和四面抽墙为一体折弯成型；</w:t>
            </w:r>
          </w:p>
          <w:p w14:paraId="42772B7A">
            <w:pPr>
              <w:jc w:val="left"/>
              <w:rPr>
                <w:rFonts w:hint="eastAsia" w:ascii="宋体" w:hAnsi="宋体" w:eastAsia="宋体" w:cs="宋体"/>
                <w:b w:val="0"/>
                <w:bCs w:val="0"/>
              </w:rPr>
            </w:pPr>
            <w:r>
              <w:rPr>
                <w:rFonts w:hint="eastAsia" w:ascii="宋体" w:hAnsi="宋体" w:eastAsia="宋体" w:cs="宋体"/>
                <w:b w:val="0"/>
                <w:bCs w:val="0"/>
              </w:rPr>
              <w:t>（5）内置活动层板（选配），不小于1.0mm厚冷轧钢板，可自由上下调节高度。层板由四个编号S304以上的不锈钢层板扣支撑，承重为大于50kg；</w:t>
            </w:r>
          </w:p>
          <w:p w14:paraId="2E6496A7">
            <w:pPr>
              <w:jc w:val="left"/>
              <w:rPr>
                <w:rFonts w:hint="eastAsia" w:ascii="宋体" w:hAnsi="宋体" w:eastAsia="宋体" w:cs="宋体"/>
                <w:b w:val="0"/>
                <w:bCs w:val="0"/>
              </w:rPr>
            </w:pPr>
            <w:r>
              <w:rPr>
                <w:rFonts w:hint="eastAsia" w:ascii="宋体" w:hAnsi="宋体" w:eastAsia="宋体" w:cs="宋体"/>
                <w:b w:val="0"/>
                <w:bCs w:val="0"/>
              </w:rPr>
              <w:t>（6）所有柜体四周及顶部表面和打开门板抽屉及柜体内部结构在可视范围内不得有焊点影响柜子美观度；</w:t>
            </w:r>
          </w:p>
          <w:p w14:paraId="16146F21">
            <w:pPr>
              <w:jc w:val="left"/>
              <w:rPr>
                <w:rFonts w:hint="eastAsia" w:ascii="宋体" w:hAnsi="宋体" w:eastAsia="宋体" w:cs="宋体"/>
                <w:b w:val="0"/>
                <w:bCs w:val="0"/>
              </w:rPr>
            </w:pPr>
            <w:r>
              <w:rPr>
                <w:rFonts w:hint="eastAsia" w:ascii="宋体" w:hAnsi="宋体" w:eastAsia="宋体" w:cs="宋体"/>
                <w:b w:val="0"/>
                <w:bCs w:val="0"/>
              </w:rPr>
              <w:t>（7）合页：304不锈钢合页，开启角度达180度以上。其性能要求如下（需提供具有符合CMA 或CNAS认可的第三方检测机构出具的检测报告）：</w:t>
            </w:r>
          </w:p>
          <w:p w14:paraId="53D3470E">
            <w:pPr>
              <w:jc w:val="left"/>
              <w:rPr>
                <w:rFonts w:hint="eastAsia" w:ascii="宋体" w:hAnsi="宋体" w:eastAsia="宋体" w:cs="宋体"/>
                <w:b w:val="0"/>
                <w:bCs w:val="0"/>
              </w:rPr>
            </w:pPr>
          </w:p>
          <w:p w14:paraId="0AD3B4AE">
            <w:pPr>
              <w:jc w:val="left"/>
              <w:rPr>
                <w:rFonts w:hint="eastAsia" w:ascii="宋体" w:hAnsi="宋体" w:eastAsia="宋体" w:cs="宋体"/>
                <w:b w:val="0"/>
                <w:bCs w:val="0"/>
              </w:rPr>
            </w:pPr>
            <w:r>
              <w:rPr>
                <w:rFonts w:hint="eastAsia" w:ascii="宋体" w:hAnsi="宋体" w:eastAsia="宋体" w:cs="宋体"/>
                <w:b w:val="0"/>
                <w:bCs w:val="0"/>
              </w:rPr>
              <w:t xml:space="preserve">★1）合页功能依据QB/T2189-2013《家具五金杯状暗铰链》检测标准，在使用调整系统前，安装A型试验门时，其下沉量不应大于 2.0mm； </w:t>
            </w:r>
          </w:p>
          <w:p w14:paraId="222829A8">
            <w:pPr>
              <w:jc w:val="left"/>
              <w:rPr>
                <w:rFonts w:hint="eastAsia" w:ascii="宋体" w:hAnsi="宋体" w:eastAsia="宋体" w:cs="宋体"/>
                <w:b w:val="0"/>
                <w:bCs w:val="0"/>
              </w:rPr>
            </w:pPr>
            <w:r>
              <w:rPr>
                <w:rFonts w:hint="eastAsia" w:ascii="宋体" w:hAnsi="宋体" w:eastAsia="宋体" w:cs="宋体"/>
                <w:b w:val="0"/>
                <w:bCs w:val="0"/>
              </w:rPr>
              <w:t>★2）盐雾测试依据QB/T 3826-1999 《轻工产品金属镀层和化学处理层的耐腐蚀试验方法中心盐雾试验（NSS）法》检测标准，经过480小时中性盐雾测试，镀(涂)层本身耐腐蚀等级等级≥10级，镀(涂)层对基体耐腐蚀等级≥10级。</w:t>
            </w:r>
          </w:p>
          <w:p w14:paraId="5BF2100C">
            <w:pPr>
              <w:jc w:val="left"/>
              <w:rPr>
                <w:rFonts w:hint="eastAsia" w:ascii="宋体" w:hAnsi="宋体" w:eastAsia="宋体" w:cs="宋体"/>
                <w:b w:val="0"/>
                <w:bCs w:val="0"/>
              </w:rPr>
            </w:pPr>
            <w:r>
              <w:rPr>
                <w:rFonts w:hint="eastAsia" w:ascii="宋体" w:hAnsi="宋体" w:eastAsia="宋体" w:cs="宋体"/>
                <w:b w:val="0"/>
                <w:bCs w:val="0"/>
              </w:rPr>
              <w:t>（8）抽屉导轨为三节静音轨道，开合平稳，承重力强，耐磨；其性能要求达到以下条件（需提供具有符合CMA 或CNAS认可的第三方检测机构出具的检测报告）：</w:t>
            </w:r>
          </w:p>
          <w:p w14:paraId="309BF486">
            <w:pPr>
              <w:jc w:val="left"/>
              <w:rPr>
                <w:rFonts w:hint="eastAsia" w:ascii="宋体" w:hAnsi="宋体" w:eastAsia="宋体" w:cs="宋体"/>
                <w:b w:val="0"/>
                <w:bCs w:val="0"/>
              </w:rPr>
            </w:pPr>
            <w:r>
              <w:rPr>
                <w:rFonts w:hint="eastAsia" w:ascii="宋体" w:hAnsi="宋体" w:eastAsia="宋体" w:cs="宋体"/>
                <w:b w:val="0"/>
                <w:bCs w:val="0"/>
              </w:rPr>
              <w:t>★1）依据QB/T 2454-2013标准要求垂直向下静载荷200N，水平侧向静载荷100N，猛开或猛关各10次，均无损坏；</w:t>
            </w:r>
          </w:p>
          <w:p w14:paraId="08358C22">
            <w:pPr>
              <w:jc w:val="left"/>
              <w:rPr>
                <w:rFonts w:hint="eastAsia" w:ascii="宋体" w:hAnsi="宋体" w:eastAsia="宋体" w:cs="宋体"/>
                <w:b w:val="0"/>
                <w:bCs w:val="0"/>
              </w:rPr>
            </w:pPr>
            <w:r>
              <w:rPr>
                <w:rFonts w:hint="eastAsia" w:ascii="宋体" w:hAnsi="宋体" w:eastAsia="宋体" w:cs="宋体"/>
                <w:b w:val="0"/>
                <w:bCs w:val="0"/>
              </w:rPr>
              <w:t>★2）依据QB/T 3832-1999《轻工产品金属镀层腐蚀试验结果的评价》和QB/T 3826-1999《轻工产品金属镀层和化学处理层的耐腐蚀试验方法 中性盐雾试验(NSS)法》检测标准，中性盐雾试验≥480小时，镀（涂)层对基体的保护等级≥10级，镀（涂)层本身耐腐蚀等级≥10级</w:t>
            </w:r>
          </w:p>
          <w:p w14:paraId="630DF206">
            <w:pPr>
              <w:jc w:val="left"/>
              <w:rPr>
                <w:rFonts w:hint="eastAsia" w:ascii="宋体" w:hAnsi="宋体" w:eastAsia="宋体" w:cs="宋体"/>
                <w:b w:val="0"/>
                <w:bCs w:val="0"/>
              </w:rPr>
            </w:pPr>
            <w:r>
              <w:rPr>
                <w:rFonts w:hint="eastAsia" w:ascii="宋体" w:hAnsi="宋体" w:eastAsia="宋体" w:cs="宋体"/>
                <w:b w:val="0"/>
                <w:bCs w:val="0"/>
              </w:rPr>
              <w:t>★3）乙酸盐雾试验≥240小时，镀（涂)层对基体的保护等级≥10级，镀（涂)层本身耐腐蚀等级≥10级。</w:t>
            </w:r>
          </w:p>
          <w:p w14:paraId="3E1049C3">
            <w:pPr>
              <w:jc w:val="left"/>
              <w:rPr>
                <w:rFonts w:hint="eastAsia" w:ascii="宋体" w:hAnsi="宋体" w:eastAsia="宋体" w:cs="宋体"/>
                <w:b w:val="0"/>
                <w:bCs w:val="0"/>
              </w:rPr>
            </w:pPr>
            <w:r>
              <w:rPr>
                <w:rFonts w:hint="eastAsia" w:ascii="宋体" w:hAnsi="宋体" w:eastAsia="宋体" w:cs="宋体"/>
                <w:b w:val="0"/>
                <w:bCs w:val="0"/>
              </w:rPr>
              <w:t xml:space="preserve">（9）座位空间：前侧横梁式，后侧配封板，不小于1.0mm厚冷轧钢板，表面喷涂环氧树脂粉末，喷涂厚度≥75µm； </w:t>
            </w:r>
          </w:p>
          <w:p w14:paraId="09FD1067">
            <w:pPr>
              <w:jc w:val="left"/>
              <w:rPr>
                <w:rFonts w:hint="eastAsia" w:ascii="宋体" w:hAnsi="宋体" w:eastAsia="宋体" w:cs="宋体"/>
                <w:b w:val="0"/>
                <w:bCs w:val="0"/>
              </w:rPr>
            </w:pPr>
            <w:r>
              <w:rPr>
                <w:rFonts w:hint="eastAsia" w:ascii="宋体" w:hAnsi="宋体" w:eastAsia="宋体" w:cs="宋体"/>
                <w:b w:val="0"/>
                <w:bCs w:val="0"/>
              </w:rPr>
              <w:t>（10）踢脚板除正面凹入部分外，两侧需与柜体钢板一体成型，不得以小料拼接烧焊制作，以确保整体承重能力；</w:t>
            </w:r>
          </w:p>
          <w:p w14:paraId="185A0F19">
            <w:pPr>
              <w:jc w:val="left"/>
              <w:rPr>
                <w:rFonts w:hint="eastAsia" w:ascii="宋体" w:hAnsi="宋体" w:eastAsia="宋体" w:cs="宋体"/>
                <w:b w:val="0"/>
                <w:bCs w:val="0"/>
              </w:rPr>
            </w:pPr>
            <w:r>
              <w:rPr>
                <w:rFonts w:hint="eastAsia" w:ascii="宋体" w:hAnsi="宋体" w:eastAsia="宋体" w:cs="宋体"/>
                <w:b w:val="0"/>
                <w:bCs w:val="0"/>
              </w:rPr>
              <w:t>（11）地脚：采用不锈钢可调整支撑脚，支撑稳固，可根据现场地面自由调节水平高度；采用隐藏式内嵌结构，安装后无外露部件，有效减少积尘、便于清洁维护，符合实验室洁净使用要求。</w:t>
            </w:r>
          </w:p>
          <w:p w14:paraId="0B76522F">
            <w:pPr>
              <w:jc w:val="left"/>
              <w:rPr>
                <w:rFonts w:hint="eastAsia" w:ascii="宋体" w:hAnsi="宋体" w:eastAsia="宋体" w:cs="宋体"/>
                <w:b w:val="0"/>
                <w:bCs w:val="0"/>
              </w:rPr>
            </w:pPr>
            <w:r>
              <w:rPr>
                <w:rFonts w:hint="eastAsia" w:ascii="宋体" w:hAnsi="宋体" w:eastAsia="宋体" w:cs="宋体"/>
                <w:b w:val="0"/>
                <w:bCs w:val="0"/>
              </w:rPr>
              <w:t>（12）所有柜子配件组装需采用编号SS304以上的不锈钢螺丝，以免螺丝生锈影响性能和美观；</w:t>
            </w:r>
          </w:p>
          <w:p w14:paraId="13F09A59">
            <w:pPr>
              <w:jc w:val="left"/>
              <w:rPr>
                <w:rFonts w:hint="eastAsia" w:ascii="宋体" w:hAnsi="宋体" w:eastAsia="宋体" w:cs="宋体"/>
                <w:b w:val="0"/>
                <w:bCs w:val="0"/>
              </w:rPr>
            </w:pPr>
            <w:r>
              <w:rPr>
                <w:rFonts w:hint="eastAsia" w:ascii="宋体" w:hAnsi="宋体" w:eastAsia="宋体" w:cs="宋体"/>
                <w:b w:val="0"/>
                <w:bCs w:val="0"/>
              </w:rPr>
              <w:t>（13）柜体表面喷涂性能要求：</w:t>
            </w:r>
          </w:p>
          <w:p w14:paraId="7071BC85">
            <w:pPr>
              <w:jc w:val="left"/>
              <w:rPr>
                <w:rFonts w:hint="eastAsia" w:ascii="宋体" w:hAnsi="宋体" w:eastAsia="宋体" w:cs="宋体"/>
                <w:b w:val="0"/>
                <w:bCs w:val="0"/>
              </w:rPr>
            </w:pPr>
            <w:r>
              <w:rPr>
                <w:rFonts w:hint="eastAsia" w:ascii="宋体" w:hAnsi="宋体" w:eastAsia="宋体" w:cs="宋体"/>
                <w:b w:val="0"/>
                <w:bCs w:val="0"/>
              </w:rPr>
              <w:t>1）化学试剂痕迹试验：耐指定的49种化学试剂，漆面结果是等级3的情况不应多于4个；</w:t>
            </w:r>
          </w:p>
          <w:p w14:paraId="041FD556">
            <w:pPr>
              <w:jc w:val="left"/>
              <w:rPr>
                <w:rFonts w:hint="eastAsia" w:ascii="宋体" w:hAnsi="宋体" w:eastAsia="宋体" w:cs="宋体"/>
                <w:b w:val="0"/>
                <w:bCs w:val="0"/>
              </w:rPr>
            </w:pPr>
            <w:r>
              <w:rPr>
                <w:rFonts w:hint="eastAsia" w:ascii="宋体" w:hAnsi="宋体" w:eastAsia="宋体" w:cs="宋体"/>
                <w:b w:val="0"/>
                <w:bCs w:val="0"/>
              </w:rPr>
              <w:t>2）产品表面涂层可迁移元素的限量，金属件喷涂层性能：其中锑、砷、钡镉、铬、铅、汞、硒重金属物检测结果为未检出</w:t>
            </w:r>
          </w:p>
          <w:p w14:paraId="27E057A0">
            <w:pPr>
              <w:jc w:val="left"/>
              <w:rPr>
                <w:rFonts w:hint="eastAsia" w:ascii="宋体" w:hAnsi="宋体" w:eastAsia="宋体" w:cs="宋体"/>
                <w:b w:val="0"/>
                <w:bCs w:val="0"/>
              </w:rPr>
            </w:pPr>
            <w:r>
              <w:rPr>
                <w:rFonts w:hint="eastAsia" w:ascii="宋体" w:hAnsi="宋体" w:eastAsia="宋体" w:cs="宋体"/>
                <w:b w:val="0"/>
                <w:bCs w:val="0"/>
              </w:rPr>
              <w:t>3）硬度试验：漆膜硬度应在 4H 铅笔硬度或以上。</w:t>
            </w:r>
          </w:p>
          <w:p w14:paraId="5078C594">
            <w:pPr>
              <w:jc w:val="left"/>
              <w:rPr>
                <w:rFonts w:hint="eastAsia" w:ascii="宋体" w:hAnsi="宋体" w:eastAsia="宋体" w:cs="宋体"/>
                <w:b w:val="0"/>
                <w:bCs w:val="0"/>
              </w:rPr>
            </w:pPr>
            <w:r>
              <w:rPr>
                <w:rFonts w:hint="eastAsia" w:ascii="宋体" w:hAnsi="宋体" w:eastAsia="宋体" w:cs="宋体"/>
                <w:b w:val="0"/>
                <w:bCs w:val="0"/>
              </w:rPr>
              <w:t>4）冲击试验：试验板放置于光滑混凝土地面。重量 1lb(直径约 2"(50.8mm))的球从 12'(304.8mm)高度跌落到水平漆面上。无冲击产生的裂纹或龟裂。</w:t>
            </w:r>
          </w:p>
          <w:p w14:paraId="75593D41">
            <w:pPr>
              <w:jc w:val="left"/>
              <w:rPr>
                <w:rFonts w:hint="eastAsia" w:ascii="宋体" w:hAnsi="宋体" w:eastAsia="宋体" w:cs="宋体"/>
                <w:b w:val="0"/>
                <w:bCs w:val="0"/>
              </w:rPr>
            </w:pPr>
            <w:r>
              <w:rPr>
                <w:rFonts w:hint="eastAsia" w:ascii="宋体" w:hAnsi="宋体" w:eastAsia="宋体" w:cs="宋体"/>
                <w:b w:val="0"/>
                <w:bCs w:val="0"/>
              </w:rPr>
              <w:t>5）油漆附着测试：等级≥5B。</w:t>
            </w:r>
          </w:p>
          <w:p w14:paraId="58265080">
            <w:pPr>
              <w:jc w:val="left"/>
              <w:rPr>
                <w:rFonts w:hint="eastAsia" w:ascii="宋体" w:hAnsi="宋体" w:eastAsia="宋体" w:cs="宋体"/>
                <w:b w:val="0"/>
                <w:bCs w:val="0"/>
              </w:rPr>
            </w:pPr>
            <w:r>
              <w:rPr>
                <w:rFonts w:hint="eastAsia" w:ascii="宋体" w:hAnsi="宋体" w:eastAsia="宋体" w:cs="宋体"/>
                <w:b w:val="0"/>
                <w:bCs w:val="0"/>
              </w:rPr>
              <w:t>★6）依据GB/T 229-2020标准： 冲击吸收能量≥27 KV(J)</w:t>
            </w:r>
          </w:p>
          <w:p w14:paraId="193F433C">
            <w:pPr>
              <w:jc w:val="left"/>
              <w:rPr>
                <w:rFonts w:hint="eastAsia" w:ascii="宋体" w:hAnsi="宋体" w:eastAsia="宋体" w:cs="宋体"/>
                <w:b w:val="0"/>
                <w:bCs w:val="0"/>
              </w:rPr>
            </w:pPr>
            <w:r>
              <w:rPr>
                <w:rFonts w:hint="eastAsia" w:ascii="宋体" w:hAnsi="宋体" w:eastAsia="宋体" w:cs="宋体"/>
                <w:b w:val="0"/>
                <w:bCs w:val="0"/>
              </w:rPr>
              <w:t>★7）依据GB/T 13298-2015《金属显微组织检验方法》标准检测，检测结果为铁素体+珠光体</w:t>
            </w:r>
          </w:p>
          <w:p w14:paraId="48023A49">
            <w:pPr>
              <w:jc w:val="left"/>
              <w:rPr>
                <w:rFonts w:hint="eastAsia" w:ascii="宋体" w:hAnsi="宋体" w:eastAsia="宋体" w:cs="宋体"/>
                <w:b w:val="0"/>
                <w:bCs w:val="0"/>
              </w:rPr>
            </w:pPr>
            <w:r>
              <w:rPr>
                <w:rFonts w:hint="eastAsia" w:ascii="宋体" w:hAnsi="宋体" w:eastAsia="宋体" w:cs="宋体"/>
                <w:b w:val="0"/>
                <w:bCs w:val="0"/>
              </w:rPr>
              <w:t>1.2钢板性能要求如下（需提供具有符合CMA 、CNAS认可的第三方检测机构出具的检测报告）：</w:t>
            </w:r>
          </w:p>
          <w:p w14:paraId="22E6996F">
            <w:pPr>
              <w:jc w:val="left"/>
              <w:rPr>
                <w:rFonts w:hint="eastAsia" w:ascii="宋体" w:hAnsi="宋体" w:eastAsia="宋体" w:cs="宋体"/>
                <w:b w:val="0"/>
                <w:bCs w:val="0"/>
              </w:rPr>
            </w:pPr>
            <w:r>
              <w:rPr>
                <w:rFonts w:hint="eastAsia" w:ascii="宋体" w:hAnsi="宋体" w:eastAsia="宋体" w:cs="宋体"/>
                <w:b w:val="0"/>
                <w:bCs w:val="0"/>
              </w:rPr>
              <w:t>★1.2.1环氧树脂喷涂过的钢板，产品表面涂层可迁移元素的限量锑(Sb)、砷(As)、钡(Ba)、镉(Cd)、铬(Cr)、铅(Pb)、汞(Hg)、硒(Se)未检出。</w:t>
            </w:r>
          </w:p>
          <w:p w14:paraId="178122D7">
            <w:pPr>
              <w:jc w:val="left"/>
              <w:rPr>
                <w:rFonts w:hint="eastAsia" w:ascii="宋体" w:hAnsi="宋体" w:eastAsia="宋体" w:cs="宋体"/>
                <w:b w:val="0"/>
                <w:bCs w:val="0"/>
              </w:rPr>
            </w:pPr>
            <w:r>
              <w:rPr>
                <w:rFonts w:hint="eastAsia" w:ascii="宋体" w:hAnsi="宋体" w:eastAsia="宋体" w:cs="宋体"/>
                <w:b w:val="0"/>
                <w:bCs w:val="0"/>
              </w:rPr>
              <w:t>★1.2.2依据GB/T 1720-2020标准，附着力≤ 1 级；依据QB/T 3827-1999标准或GB/T10125-2021《人造气氛腐蚀试验 盐雾试验》标准，耐腐蚀试验通过 48h 乙酸盐雾试验，外观评级≥9 级。</w:t>
            </w:r>
          </w:p>
          <w:p w14:paraId="7ECCEA02">
            <w:pPr>
              <w:jc w:val="left"/>
              <w:rPr>
                <w:rFonts w:hint="eastAsia" w:ascii="宋体" w:hAnsi="宋体" w:eastAsia="宋体" w:cs="宋体"/>
                <w:b w:val="0"/>
                <w:bCs w:val="0"/>
              </w:rPr>
            </w:pPr>
            <w:r>
              <w:rPr>
                <w:rFonts w:hint="eastAsia" w:ascii="宋体" w:hAnsi="宋体" w:eastAsia="宋体" w:cs="宋体"/>
                <w:b w:val="0"/>
                <w:bCs w:val="0"/>
              </w:rPr>
              <w:t>★1.2.3耐酸碱试验(光泽60°）：依据GB/T 13448-2019标准，无失光、变色、起泡、脱落，综合评定0级(失光率≤2.8%，色差AE*≤0.39)</w:t>
            </w:r>
          </w:p>
          <w:p w14:paraId="282DF97E">
            <w:pPr>
              <w:jc w:val="left"/>
              <w:rPr>
                <w:rFonts w:hint="eastAsia" w:ascii="宋体" w:hAnsi="宋体" w:eastAsia="宋体" w:cs="宋体"/>
                <w:b w:val="0"/>
                <w:bCs w:val="0"/>
              </w:rPr>
            </w:pPr>
          </w:p>
          <w:p w14:paraId="797FF9D7">
            <w:pPr>
              <w:jc w:val="left"/>
              <w:rPr>
                <w:rFonts w:hint="eastAsia" w:ascii="宋体" w:hAnsi="宋体" w:eastAsia="宋体" w:cs="宋体"/>
                <w:b w:val="0"/>
                <w:bCs w:val="0"/>
              </w:rPr>
            </w:pPr>
            <w:r>
              <w:rPr>
                <w:rFonts w:hint="eastAsia" w:ascii="宋体" w:hAnsi="宋体" w:eastAsia="宋体" w:cs="宋体"/>
                <w:b w:val="0"/>
                <w:bCs w:val="0"/>
              </w:rPr>
              <w:t>1.3实验台力学性能要求（需提供具有符合CMA 、CNAS认可的第三方检测机构出具的检测报告）：</w:t>
            </w:r>
          </w:p>
          <w:p w14:paraId="3B944DC2">
            <w:pPr>
              <w:jc w:val="left"/>
              <w:rPr>
                <w:rFonts w:hint="eastAsia" w:ascii="宋体" w:hAnsi="宋体" w:eastAsia="宋体" w:cs="宋体"/>
                <w:b w:val="0"/>
                <w:bCs w:val="0"/>
              </w:rPr>
            </w:pPr>
            <w:r>
              <w:rPr>
                <w:rFonts w:hint="eastAsia" w:ascii="宋体" w:hAnsi="宋体" w:eastAsia="宋体" w:cs="宋体"/>
                <w:b w:val="0"/>
                <w:bCs w:val="0"/>
              </w:rPr>
              <w:t>★1.3.1实验台强度、独立式实验台稳定性：水平静载荷600N试验10次、垂直静载荷2000N试验10次，零部件无断裂或豁裂，用手揿压某些应为牢固的部件无永久性松动，零部件无严重影响使用功能的磨损或变形，五金连接件无松动，活动部件的开关灵便。</w:t>
            </w:r>
          </w:p>
          <w:p w14:paraId="7DAE8418">
            <w:pPr>
              <w:jc w:val="left"/>
              <w:rPr>
                <w:rFonts w:hint="eastAsia" w:ascii="宋体" w:hAnsi="宋体" w:eastAsia="宋体" w:cs="宋体"/>
                <w:b w:val="0"/>
                <w:bCs w:val="0"/>
              </w:rPr>
            </w:pPr>
            <w:r>
              <w:rPr>
                <w:rFonts w:hint="eastAsia" w:ascii="宋体" w:hAnsi="宋体" w:eastAsia="宋体" w:cs="宋体"/>
                <w:b w:val="0"/>
                <w:bCs w:val="0"/>
              </w:rPr>
              <w:t>★1.3.2、实验台强度、独立式实验台稳定性-水平冲击稳定性试验(质量50kg，高度40mm)，产品不应倾翻。</w:t>
            </w:r>
          </w:p>
          <w:p w14:paraId="0E6E1FB6">
            <w:pPr>
              <w:jc w:val="left"/>
              <w:rPr>
                <w:rFonts w:hint="eastAsia" w:ascii="宋体" w:hAnsi="宋体" w:eastAsia="宋体" w:cs="宋体"/>
                <w:b w:val="0"/>
                <w:bCs w:val="0"/>
              </w:rPr>
            </w:pPr>
          </w:p>
          <w:p w14:paraId="6229E9E5">
            <w:pPr>
              <w:jc w:val="left"/>
              <w:rPr>
                <w:rFonts w:hint="eastAsia" w:ascii="宋体" w:hAnsi="宋体" w:eastAsia="宋体" w:cs="宋体"/>
                <w:b w:val="0"/>
                <w:bCs w:val="0"/>
              </w:rPr>
            </w:pPr>
            <w:r>
              <w:rPr>
                <w:rFonts w:hint="eastAsia" w:ascii="宋体" w:hAnsi="宋体" w:eastAsia="宋体" w:cs="宋体"/>
                <w:b w:val="0"/>
                <w:bCs w:val="0"/>
              </w:rPr>
              <w:t>1.4台面要求</w:t>
            </w:r>
          </w:p>
          <w:p w14:paraId="2A0FB7D3">
            <w:pPr>
              <w:jc w:val="left"/>
              <w:rPr>
                <w:rFonts w:hint="eastAsia" w:ascii="宋体" w:hAnsi="宋体" w:eastAsia="宋体" w:cs="宋体"/>
                <w:b w:val="0"/>
                <w:bCs w:val="0"/>
              </w:rPr>
            </w:pPr>
            <w:r>
              <w:rPr>
                <w:rFonts w:hint="eastAsia" w:ascii="宋体" w:hAnsi="宋体" w:eastAsia="宋体" w:cs="宋体"/>
                <w:b w:val="0"/>
                <w:bCs w:val="0"/>
              </w:rPr>
              <w:t>台面采用≥20mm岩板级陶瓷，属于A1级别不燃材料；一体实芯黑色坯体烧制，中间无黄锈色夹层；使用进口釉面，漫反射性能好，呈现哑光色泽。需提供质量承诺书以及提供台面品牌厂家符合以下所有技术参数指标的检测报告复印件，检测报告须标注专用于本项目投标使用字样，并加盖陶瓷品牌厂家鲜章。</w:t>
            </w:r>
          </w:p>
          <w:p w14:paraId="03329845">
            <w:pPr>
              <w:jc w:val="left"/>
              <w:rPr>
                <w:rFonts w:hint="eastAsia" w:ascii="宋体" w:hAnsi="宋体" w:eastAsia="宋体" w:cs="宋体"/>
                <w:b w:val="0"/>
                <w:bCs w:val="0"/>
              </w:rPr>
            </w:pPr>
            <w:r>
              <w:rPr>
                <w:rFonts w:hint="eastAsia" w:ascii="宋体" w:hAnsi="宋体" w:eastAsia="宋体" w:cs="宋体"/>
                <w:b w:val="0"/>
                <w:bCs w:val="0"/>
              </w:rPr>
              <w:t>★1、尺寸偏差：提供检测机构出具的检测报告，样品尺寸≥3000mm×750mm×20mm、≥1000mm×1000mm×20mm进行检测，检测要求为：长度偏差：±2mm；宽度偏差：±2mm；厚度偏差：±0.50mm；垂直度≤1mm/m；边缘直度≤1mm/m；平整度≤1mm/m，检测结果为：符合。</w:t>
            </w:r>
          </w:p>
          <w:p w14:paraId="702D5CBD">
            <w:pPr>
              <w:jc w:val="left"/>
              <w:rPr>
                <w:rFonts w:hint="eastAsia" w:ascii="宋体" w:hAnsi="宋体" w:eastAsia="宋体" w:cs="宋体"/>
                <w:b w:val="0"/>
                <w:bCs w:val="0"/>
              </w:rPr>
            </w:pPr>
            <w:r>
              <w:rPr>
                <w:rFonts w:hint="eastAsia" w:ascii="宋体" w:hAnsi="宋体" w:eastAsia="宋体" w:cs="宋体"/>
                <w:b w:val="0"/>
                <w:bCs w:val="0"/>
              </w:rPr>
              <w:t>★2、表面质量（%）：提供检测机构出具的检测报告，检验类别为抽样检验，抽样地点：生产公司成品库，样品基数≥3000块，样品数量≥8块，技术要求：至少98%的陶瓷台面其主要区域无明显缺陷，检验结果为100%。</w:t>
            </w:r>
          </w:p>
          <w:p w14:paraId="6CA07E63">
            <w:pPr>
              <w:jc w:val="left"/>
              <w:rPr>
                <w:rFonts w:hint="eastAsia" w:ascii="宋体" w:hAnsi="宋体" w:eastAsia="宋体" w:cs="宋体"/>
                <w:b w:val="0"/>
                <w:bCs w:val="0"/>
              </w:rPr>
            </w:pPr>
            <w:r>
              <w:rPr>
                <w:rFonts w:hint="eastAsia" w:ascii="宋体" w:hAnsi="宋体" w:eastAsia="宋体" w:cs="宋体"/>
                <w:b w:val="0"/>
                <w:bCs w:val="0"/>
              </w:rPr>
              <w:t>3、抗冲击性：提供检测机构出具的检测报告，检测结果为≥0.86。</w:t>
            </w:r>
          </w:p>
          <w:p w14:paraId="792A878C">
            <w:pPr>
              <w:jc w:val="left"/>
              <w:rPr>
                <w:rFonts w:hint="eastAsia" w:ascii="宋体" w:hAnsi="宋体" w:eastAsia="宋体" w:cs="宋体"/>
                <w:b w:val="0"/>
                <w:bCs w:val="0"/>
              </w:rPr>
            </w:pPr>
            <w:r>
              <w:rPr>
                <w:rFonts w:hint="eastAsia" w:ascii="宋体" w:hAnsi="宋体" w:eastAsia="宋体" w:cs="宋体"/>
                <w:b w:val="0"/>
                <w:bCs w:val="0"/>
              </w:rPr>
              <w:t>★4、耐化学/耐污性能要求：提供检测机构出具的检测报告，要求检测样品为抽检样，型号包含普通平板陶瓷板（总厚度：20MM）；普通碟型陶瓷板（总厚度：25MM），检测报告中应包含有不少于49种检测试剂,且检测结果等级为0级（无可见变化）的不少于46项。</w:t>
            </w:r>
          </w:p>
          <w:p w14:paraId="5210A686">
            <w:pPr>
              <w:jc w:val="left"/>
              <w:rPr>
                <w:rFonts w:hint="eastAsia" w:ascii="宋体" w:hAnsi="宋体" w:eastAsia="宋体" w:cs="宋体"/>
                <w:b w:val="0"/>
                <w:bCs w:val="0"/>
              </w:rPr>
            </w:pPr>
            <w:r>
              <w:rPr>
                <w:rFonts w:hint="eastAsia" w:ascii="宋体" w:hAnsi="宋体" w:eastAsia="宋体" w:cs="宋体"/>
                <w:b w:val="0"/>
                <w:bCs w:val="0"/>
              </w:rPr>
              <w:t>5、承载性能：提供检测机构出具的检测报告，检测结果为：重量不低于700kg保压时间不少于600h，样品无破坏。</w:t>
            </w:r>
          </w:p>
          <w:p w14:paraId="56CAF40D">
            <w:pPr>
              <w:jc w:val="left"/>
              <w:rPr>
                <w:rFonts w:hint="eastAsia" w:ascii="宋体" w:hAnsi="宋体" w:eastAsia="宋体" w:cs="宋体"/>
              </w:rPr>
            </w:pPr>
            <w:r>
              <w:rPr>
                <w:rFonts w:hint="eastAsia" w:ascii="宋体" w:hAnsi="宋体" w:eastAsia="宋体" w:cs="宋体"/>
                <w:b w:val="0"/>
                <w:bCs w:val="0"/>
              </w:rPr>
              <w:t>★6、放射性：提供检测机构出具的检测报告,检测样品为一体实芯黑色坯体陶瓷板（抽检样），测试结果为：核素的放射性比活度，镭-226≤108Bq/kg,钍-232≤125Bq/kg,钾-40≤800Bq/kg。</w:t>
            </w:r>
          </w:p>
        </w:tc>
        <w:tc>
          <w:tcPr>
            <w:tcW w:w="398" w:type="pct"/>
            <w:noWrap/>
            <w:vAlign w:val="center"/>
          </w:tcPr>
          <w:p w14:paraId="43017596">
            <w:pPr>
              <w:jc w:val="center"/>
              <w:rPr>
                <w:rFonts w:hint="eastAsia" w:ascii="宋体" w:hAnsi="宋体" w:eastAsia="宋体" w:cs="宋体"/>
              </w:rPr>
            </w:pPr>
            <w:r>
              <w:rPr>
                <w:rFonts w:hint="eastAsia" w:ascii="宋体" w:hAnsi="宋体" w:eastAsia="宋体" w:cs="宋体"/>
              </w:rPr>
              <w:t>组</w:t>
            </w:r>
          </w:p>
        </w:tc>
        <w:tc>
          <w:tcPr>
            <w:tcW w:w="441" w:type="pct"/>
            <w:noWrap/>
            <w:vAlign w:val="center"/>
          </w:tcPr>
          <w:p w14:paraId="2A08C453">
            <w:pPr>
              <w:jc w:val="center"/>
              <w:rPr>
                <w:rFonts w:hint="eastAsia" w:ascii="宋体" w:hAnsi="宋体" w:eastAsia="宋体" w:cs="宋体"/>
              </w:rPr>
            </w:pPr>
            <w:r>
              <w:rPr>
                <w:rFonts w:hint="eastAsia" w:ascii="宋体" w:hAnsi="宋体" w:eastAsia="宋体" w:cs="宋体"/>
              </w:rPr>
              <w:t>1</w:t>
            </w:r>
          </w:p>
        </w:tc>
        <w:tc>
          <w:tcPr>
            <w:tcW w:w="449" w:type="pct"/>
            <w:noWrap/>
            <w:vAlign w:val="center"/>
          </w:tcPr>
          <w:p w14:paraId="2D606CE9">
            <w:pPr>
              <w:jc w:val="center"/>
              <w:rPr>
                <w:rFonts w:hint="default" w:ascii="宋体" w:hAnsi="宋体" w:eastAsia="宋体" w:cs="宋体"/>
                <w:lang w:val="en-US" w:eastAsia="zh-CN"/>
              </w:rPr>
            </w:pPr>
            <w:r>
              <w:rPr>
                <w:rFonts w:hint="eastAsia" w:ascii="宋体" w:hAnsi="宋体" w:eastAsia="宋体" w:cs="宋体"/>
                <w:lang w:val="en-US" w:eastAsia="zh-CN"/>
              </w:rPr>
              <w:t>4900</w:t>
            </w:r>
          </w:p>
        </w:tc>
        <w:tc>
          <w:tcPr>
            <w:tcW w:w="482" w:type="pct"/>
            <w:noWrap/>
            <w:vAlign w:val="center"/>
          </w:tcPr>
          <w:p w14:paraId="673EE86E">
            <w:pPr>
              <w:jc w:val="center"/>
              <w:rPr>
                <w:rFonts w:hint="default" w:ascii="宋体" w:hAnsi="宋体" w:eastAsia="宋体" w:cs="宋体"/>
                <w:lang w:val="en-US" w:eastAsia="zh-CN"/>
              </w:rPr>
            </w:pPr>
            <w:r>
              <w:rPr>
                <w:rFonts w:hint="eastAsia" w:ascii="宋体" w:hAnsi="宋体" w:eastAsia="宋体" w:cs="宋体"/>
                <w:lang w:val="en-US" w:eastAsia="zh-CN"/>
              </w:rPr>
              <w:t>4900</w:t>
            </w:r>
          </w:p>
        </w:tc>
      </w:tr>
      <w:tr w14:paraId="0628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392" w:type="pct"/>
            <w:noWrap/>
            <w:vAlign w:val="center"/>
          </w:tcPr>
          <w:p w14:paraId="3CC431A9">
            <w:pPr>
              <w:jc w:val="center"/>
              <w:rPr>
                <w:rFonts w:hint="eastAsia" w:ascii="宋体" w:hAnsi="宋体" w:eastAsia="宋体" w:cs="宋体"/>
              </w:rPr>
            </w:pPr>
          </w:p>
        </w:tc>
        <w:tc>
          <w:tcPr>
            <w:tcW w:w="678" w:type="pct"/>
            <w:noWrap/>
            <w:vAlign w:val="center"/>
          </w:tcPr>
          <w:p w14:paraId="4DB1E567">
            <w:pPr>
              <w:jc w:val="center"/>
              <w:rPr>
                <w:rFonts w:ascii="宋体" w:hAnsi="宋体" w:eastAsia="宋体" w:cs="宋体"/>
              </w:rPr>
            </w:pPr>
          </w:p>
        </w:tc>
        <w:tc>
          <w:tcPr>
            <w:tcW w:w="2156" w:type="pct"/>
            <w:vAlign w:val="center"/>
          </w:tcPr>
          <w:p w14:paraId="3CBA856C">
            <w:pPr>
              <w:jc w:val="left"/>
              <w:rPr>
                <w:rFonts w:hint="eastAsia" w:ascii="宋体" w:hAnsi="宋体" w:eastAsia="宋体" w:cs="宋体"/>
                <w:b/>
                <w:bCs/>
              </w:rPr>
            </w:pPr>
            <w:bookmarkStart w:id="0" w:name="_GoBack"/>
            <w:bookmarkEnd w:id="0"/>
          </w:p>
        </w:tc>
        <w:tc>
          <w:tcPr>
            <w:tcW w:w="398" w:type="pct"/>
            <w:noWrap/>
            <w:vAlign w:val="center"/>
          </w:tcPr>
          <w:p w14:paraId="5A9D5461">
            <w:pPr>
              <w:jc w:val="center"/>
              <w:rPr>
                <w:rFonts w:hint="eastAsia" w:ascii="宋体" w:hAnsi="宋体" w:eastAsia="宋体" w:cs="宋体"/>
              </w:rPr>
            </w:pPr>
          </w:p>
        </w:tc>
        <w:tc>
          <w:tcPr>
            <w:tcW w:w="441" w:type="pct"/>
            <w:noWrap/>
            <w:vAlign w:val="center"/>
          </w:tcPr>
          <w:p w14:paraId="60BAE667">
            <w:pPr>
              <w:jc w:val="center"/>
              <w:rPr>
                <w:rFonts w:hint="eastAsia" w:ascii="宋体" w:hAnsi="宋体" w:eastAsia="宋体" w:cs="宋体"/>
              </w:rPr>
            </w:pPr>
          </w:p>
        </w:tc>
        <w:tc>
          <w:tcPr>
            <w:tcW w:w="449" w:type="pct"/>
            <w:noWrap/>
            <w:vAlign w:val="center"/>
          </w:tcPr>
          <w:p w14:paraId="7D25DD19">
            <w:pPr>
              <w:jc w:val="center"/>
              <w:rPr>
                <w:rFonts w:hint="eastAsia" w:ascii="宋体" w:hAnsi="宋体" w:eastAsia="宋体" w:cs="宋体"/>
              </w:rPr>
            </w:pPr>
          </w:p>
        </w:tc>
        <w:tc>
          <w:tcPr>
            <w:tcW w:w="482" w:type="pct"/>
            <w:noWrap/>
            <w:vAlign w:val="center"/>
          </w:tcPr>
          <w:p w14:paraId="30A00690">
            <w:pPr>
              <w:jc w:val="center"/>
              <w:rPr>
                <w:rFonts w:hint="eastAsia" w:ascii="宋体" w:hAnsi="宋体" w:eastAsia="宋体" w:cs="宋体"/>
              </w:rPr>
            </w:pPr>
          </w:p>
        </w:tc>
      </w:tr>
      <w:tr w14:paraId="3F5A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392" w:type="pct"/>
            <w:noWrap/>
            <w:vAlign w:val="center"/>
          </w:tcPr>
          <w:p w14:paraId="6CED7703">
            <w:pPr>
              <w:jc w:val="center"/>
              <w:rPr>
                <w:rFonts w:ascii="宋体" w:hAnsi="宋体" w:eastAsia="宋体" w:cs="宋体"/>
              </w:rPr>
            </w:pPr>
          </w:p>
          <w:p w14:paraId="7F97E874">
            <w:pPr>
              <w:jc w:val="center"/>
              <w:rPr>
                <w:rFonts w:hint="eastAsia" w:ascii="宋体" w:hAnsi="宋体" w:eastAsia="宋体" w:cs="宋体"/>
              </w:rPr>
            </w:pPr>
            <w:r>
              <w:rPr>
                <w:rFonts w:hint="eastAsia" w:ascii="宋体" w:hAnsi="宋体" w:eastAsia="宋体" w:cs="宋体"/>
              </w:rPr>
              <w:t>3</w:t>
            </w:r>
          </w:p>
        </w:tc>
        <w:tc>
          <w:tcPr>
            <w:tcW w:w="678" w:type="pct"/>
            <w:noWrap/>
            <w:vAlign w:val="center"/>
          </w:tcPr>
          <w:p w14:paraId="43F89C87">
            <w:pPr>
              <w:jc w:val="center"/>
              <w:rPr>
                <w:rFonts w:hint="eastAsia" w:ascii="宋体" w:hAnsi="宋体" w:eastAsia="宋体" w:cs="宋体"/>
              </w:rPr>
            </w:pPr>
            <w:r>
              <w:rPr>
                <w:rFonts w:hint="eastAsia" w:ascii="宋体" w:hAnsi="宋体" w:eastAsia="宋体" w:cs="宋体"/>
              </w:rPr>
              <w:t>试剂架</w:t>
            </w:r>
          </w:p>
        </w:tc>
        <w:tc>
          <w:tcPr>
            <w:tcW w:w="2156" w:type="pct"/>
            <w:vAlign w:val="center"/>
          </w:tcPr>
          <w:p w14:paraId="5B2694B1">
            <w:pPr>
              <w:jc w:val="left"/>
              <w:rPr>
                <w:rFonts w:hint="eastAsia" w:ascii="宋体" w:hAnsi="宋体" w:eastAsia="宋体" w:cs="宋体"/>
              </w:rPr>
            </w:pPr>
            <w:r>
              <w:rPr>
                <w:rFonts w:hint="eastAsia" w:ascii="宋体" w:hAnsi="宋体" w:eastAsia="宋体" w:cs="宋体"/>
              </w:rPr>
              <w:t>★1外观：符合GB/T 24820-2024标准或QB/T1951.2-2013标准，着地平稳性≤2.0；玻璃件外露周边应磨边处理，安装牢固；玻璃应光洁平滑，不应有裂纹、划伤、沙粒、疙瘩和麻点等缺陷；金属件焊接处应无脱焊、虚焊、焊穿、错位；无夹渣、气孔、焊瘤、焊丝头、咬边、飞溅；焊接处表面波纹应均匀；（需提供具有符合CMA 、CNAS认可的第三方检测机构出具的检测报告）</w:t>
            </w:r>
          </w:p>
          <w:p w14:paraId="269D3973">
            <w:pPr>
              <w:jc w:val="left"/>
              <w:rPr>
                <w:rFonts w:hint="eastAsia" w:ascii="宋体" w:hAnsi="宋体" w:eastAsia="宋体" w:cs="宋体"/>
              </w:rPr>
            </w:pPr>
            <w:r>
              <w:rPr>
                <w:rFonts w:hint="eastAsia" w:ascii="宋体" w:hAnsi="宋体" w:eastAsia="宋体" w:cs="宋体"/>
              </w:rPr>
              <w:t>▲2喷涂层 涂层应无漏喷、锈蚀和脱色、掉色现象；涂层应光滑均匀,色泽一致,应无流挂、疙瘩、皱皮、飞漆等缺陷。冲压件 冲压件应无脱层、裂缝。铆接件 铆接处应铆接应牢固, 无漏铆、脱铆；铆钉应端正圆滑, 无明显锤印 。皱纹或波纹：圆管和扁线管弯曲处弧形应圆滑一致 。（需提供具有符合CMA 、CNAS认可的第三方检测机构出具的检测报告）</w:t>
            </w:r>
          </w:p>
          <w:p w14:paraId="733F053E">
            <w:pPr>
              <w:jc w:val="left"/>
              <w:rPr>
                <w:rFonts w:hint="eastAsia" w:ascii="宋体" w:hAnsi="宋体" w:eastAsia="宋体" w:cs="宋体"/>
              </w:rPr>
            </w:pPr>
            <w:r>
              <w:rPr>
                <w:rFonts w:hint="eastAsia" w:ascii="宋体" w:hAnsi="宋体" w:eastAsia="宋体" w:cs="宋体"/>
              </w:rPr>
              <w:t>3理化性能：</w:t>
            </w:r>
          </w:p>
          <w:p w14:paraId="3A343F9B">
            <w:pPr>
              <w:jc w:val="left"/>
              <w:rPr>
                <w:rFonts w:hint="eastAsia" w:ascii="宋体" w:hAnsi="宋体" w:eastAsia="宋体" w:cs="宋体"/>
              </w:rPr>
            </w:pPr>
            <w:r>
              <w:rPr>
                <w:rFonts w:hint="eastAsia" w:ascii="宋体" w:hAnsi="宋体" w:eastAsia="宋体" w:cs="宋体"/>
              </w:rPr>
              <w:t>★1）耐盐浴测试：划道两侧3mm外，，应无鼓泡、锈蚀、剥落和起皱等现象，检测结果100h符合；（需提供具有符合CMA 、CNAS认可的第三方检测机构出具的检测报告）</w:t>
            </w:r>
          </w:p>
          <w:p w14:paraId="03E5D7C5">
            <w:pPr>
              <w:jc w:val="left"/>
              <w:rPr>
                <w:rFonts w:hint="eastAsia" w:ascii="宋体" w:hAnsi="宋体" w:eastAsia="宋体" w:cs="宋体"/>
              </w:rPr>
            </w:pPr>
            <w:r>
              <w:rPr>
                <w:rFonts w:hint="eastAsia" w:ascii="宋体" w:hAnsi="宋体" w:eastAsia="宋体" w:cs="宋体"/>
              </w:rPr>
              <w:t>★2）冲击强度：依据GB/T1732-2020检测标准，冲击高度400mm，应无剥落、裂纹、皱纹；（需提供具有符合CMA 、CNAS认可的第三方检测机构出具的检测报告）</w:t>
            </w:r>
          </w:p>
          <w:p w14:paraId="0265D696">
            <w:pPr>
              <w:jc w:val="left"/>
              <w:rPr>
                <w:rFonts w:hint="eastAsia" w:ascii="宋体" w:hAnsi="宋体" w:eastAsia="宋体" w:cs="宋体"/>
              </w:rPr>
            </w:pPr>
            <w:r>
              <w:rPr>
                <w:rFonts w:hint="eastAsia" w:ascii="宋体" w:hAnsi="宋体" w:eastAsia="宋体" w:cs="宋体"/>
              </w:rPr>
              <w:t>★3）产品表面理化性能-金属喷漆(塑)涂层：依据GB/T 9286-2021标准，附着力≤1级。（需提供具有符合CMA 、CNAS认可的第三方检测机构出具的检测报告）</w:t>
            </w:r>
          </w:p>
          <w:p w14:paraId="136239DB">
            <w:pPr>
              <w:jc w:val="left"/>
              <w:rPr>
                <w:rFonts w:hint="eastAsia" w:ascii="宋体" w:hAnsi="宋体" w:eastAsia="宋体" w:cs="宋体"/>
              </w:rPr>
            </w:pPr>
            <w:r>
              <w:rPr>
                <w:rFonts w:hint="eastAsia" w:ascii="宋体" w:hAnsi="宋体" w:eastAsia="宋体" w:cs="宋体"/>
              </w:rPr>
              <w:t xml:space="preserve">4立柱:厚度≥ 1.0mm 冷轧钢板制作，表面使用阿克苏环氧树脂粉末喷涂防腐处理，立柱与台面采用螺栓连接，安装方便。 </w:t>
            </w:r>
          </w:p>
          <w:p w14:paraId="7A8F43C6">
            <w:pPr>
              <w:jc w:val="left"/>
              <w:rPr>
                <w:rFonts w:hint="eastAsia" w:ascii="宋体" w:hAnsi="宋体" w:eastAsia="宋体" w:cs="宋体"/>
              </w:rPr>
            </w:pPr>
            <w:r>
              <w:rPr>
                <w:rFonts w:hint="eastAsia" w:ascii="宋体" w:hAnsi="宋体" w:eastAsia="宋体" w:cs="宋体"/>
              </w:rPr>
              <w:t>5层板:采用 1.0mm 冷轧钢板制作，托架位置可任意调整高低； 搁板静载试验：搁板上放置10 lb的沙包或钢珠包，直到每层装有40lb每平方英尺但不超过200 lb的载荷。应无破损，且搁板允许最大挠度为跨距的1/180:并且不超过0.25"(6.35 mm)</w:t>
            </w:r>
          </w:p>
          <w:p w14:paraId="7C0CD602">
            <w:pPr>
              <w:jc w:val="left"/>
              <w:rPr>
                <w:rFonts w:hint="eastAsia" w:ascii="宋体" w:hAnsi="宋体" w:eastAsia="宋体" w:cs="宋体"/>
              </w:rPr>
            </w:pPr>
            <w:r>
              <w:rPr>
                <w:rFonts w:hint="eastAsia" w:ascii="宋体" w:hAnsi="宋体" w:eastAsia="宋体" w:cs="宋体"/>
              </w:rPr>
              <w:t xml:space="preserve">6层板护栏：外形尺寸规格≥40mm×24mm*1.0mm厚，底部带试剂架层板托边，两侧带固定孔位，采用不绣钢螺丝固定，正面带装饰凹槽，可插入不同颜色的封边条装饰，铝合金型材经剪裁、定位打孔后成型，酸洗磷化处理后喷涂环氧树脂粉末高温烘烤固化，表面需附着力高、硬度耐腐蚀性强，外形美观。 </w:t>
            </w:r>
          </w:p>
          <w:p w14:paraId="61C77441">
            <w:pPr>
              <w:jc w:val="left"/>
              <w:rPr>
                <w:rFonts w:hint="eastAsia" w:ascii="宋体" w:hAnsi="宋体" w:eastAsia="宋体" w:cs="宋体"/>
              </w:rPr>
            </w:pPr>
            <w:r>
              <w:rPr>
                <w:rFonts w:hint="eastAsia" w:ascii="宋体" w:hAnsi="宋体" w:eastAsia="宋体" w:cs="宋体"/>
              </w:rPr>
              <w:t>7试剂架立柱可带插座，按要求配置插座安装孔，每段中央台试剂架配置至少4个五孔插座。有足够空间供插座配线隐藏铺设；</w:t>
            </w:r>
          </w:p>
        </w:tc>
        <w:tc>
          <w:tcPr>
            <w:tcW w:w="398" w:type="pct"/>
            <w:noWrap/>
            <w:vAlign w:val="center"/>
          </w:tcPr>
          <w:p w14:paraId="020BF564">
            <w:pPr>
              <w:jc w:val="center"/>
              <w:rPr>
                <w:rFonts w:hint="eastAsia" w:ascii="宋体" w:hAnsi="宋体" w:eastAsia="宋体" w:cs="宋体"/>
              </w:rPr>
            </w:pPr>
            <w:r>
              <w:rPr>
                <w:rFonts w:hint="eastAsia" w:ascii="宋体" w:hAnsi="宋体" w:eastAsia="宋体" w:cs="宋体"/>
              </w:rPr>
              <w:t>组</w:t>
            </w:r>
          </w:p>
        </w:tc>
        <w:tc>
          <w:tcPr>
            <w:tcW w:w="441" w:type="pct"/>
            <w:noWrap/>
            <w:vAlign w:val="center"/>
          </w:tcPr>
          <w:p w14:paraId="627A9345">
            <w:pPr>
              <w:jc w:val="center"/>
              <w:rPr>
                <w:rFonts w:hint="eastAsia" w:ascii="宋体" w:hAnsi="宋体" w:eastAsia="宋体" w:cs="宋体"/>
              </w:rPr>
            </w:pPr>
            <w:r>
              <w:rPr>
                <w:rFonts w:hint="eastAsia" w:ascii="宋体" w:hAnsi="宋体" w:eastAsia="宋体" w:cs="宋体"/>
              </w:rPr>
              <w:t>1</w:t>
            </w:r>
          </w:p>
        </w:tc>
        <w:tc>
          <w:tcPr>
            <w:tcW w:w="449" w:type="pct"/>
            <w:noWrap/>
            <w:vAlign w:val="center"/>
          </w:tcPr>
          <w:p w14:paraId="232D768A">
            <w:pPr>
              <w:jc w:val="center"/>
              <w:rPr>
                <w:rFonts w:hint="default" w:ascii="宋体" w:hAnsi="宋体" w:eastAsia="宋体" w:cs="宋体"/>
                <w:lang w:val="en-US" w:eastAsia="zh-CN"/>
              </w:rPr>
            </w:pPr>
            <w:r>
              <w:rPr>
                <w:rFonts w:hint="eastAsia" w:ascii="宋体" w:hAnsi="宋体" w:eastAsia="宋体" w:cs="宋体"/>
                <w:lang w:val="en-US" w:eastAsia="zh-CN"/>
              </w:rPr>
              <w:t>1500</w:t>
            </w:r>
          </w:p>
        </w:tc>
        <w:tc>
          <w:tcPr>
            <w:tcW w:w="482" w:type="pct"/>
            <w:noWrap/>
            <w:vAlign w:val="center"/>
          </w:tcPr>
          <w:p w14:paraId="1FC45E2E">
            <w:pPr>
              <w:jc w:val="center"/>
              <w:rPr>
                <w:rFonts w:hint="default" w:ascii="宋体" w:hAnsi="宋体" w:eastAsia="宋体" w:cs="宋体"/>
                <w:lang w:val="en-US" w:eastAsia="zh-CN"/>
              </w:rPr>
            </w:pPr>
            <w:r>
              <w:rPr>
                <w:rFonts w:hint="eastAsia" w:ascii="宋体" w:hAnsi="宋体" w:eastAsia="宋体" w:cs="宋体"/>
              </w:rPr>
              <w:t>1</w:t>
            </w:r>
            <w:r>
              <w:rPr>
                <w:rFonts w:hint="eastAsia" w:ascii="宋体" w:hAnsi="宋体" w:eastAsia="宋体" w:cs="宋体"/>
                <w:lang w:val="en-US" w:eastAsia="zh-CN"/>
              </w:rPr>
              <w:t>500</w:t>
            </w:r>
          </w:p>
        </w:tc>
      </w:tr>
      <w:tr w14:paraId="167E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392" w:type="pct"/>
            <w:noWrap/>
            <w:vAlign w:val="center"/>
          </w:tcPr>
          <w:p w14:paraId="7C34A08E">
            <w:pPr>
              <w:jc w:val="center"/>
              <w:rPr>
                <w:rFonts w:hint="eastAsia" w:ascii="宋体" w:hAnsi="宋体" w:eastAsia="宋体" w:cs="宋体"/>
              </w:rPr>
            </w:pPr>
            <w:r>
              <w:rPr>
                <w:rFonts w:hint="eastAsia" w:ascii="宋体" w:hAnsi="宋体" w:eastAsia="宋体" w:cs="宋体"/>
              </w:rPr>
              <w:t>4</w:t>
            </w:r>
          </w:p>
        </w:tc>
        <w:tc>
          <w:tcPr>
            <w:tcW w:w="678" w:type="pct"/>
            <w:noWrap/>
            <w:vAlign w:val="center"/>
          </w:tcPr>
          <w:p w14:paraId="7E754C38">
            <w:pPr>
              <w:jc w:val="center"/>
              <w:rPr>
                <w:rFonts w:hint="eastAsia" w:ascii="宋体" w:hAnsi="宋体" w:eastAsia="宋体" w:cs="宋体"/>
              </w:rPr>
            </w:pPr>
            <w:r>
              <w:rPr>
                <w:rFonts w:hint="eastAsia" w:ascii="宋体" w:hAnsi="宋体" w:eastAsia="宋体" w:cs="宋体"/>
              </w:rPr>
              <w:t>PP水槽套件</w:t>
            </w:r>
          </w:p>
        </w:tc>
        <w:tc>
          <w:tcPr>
            <w:tcW w:w="2156" w:type="pct"/>
            <w:vAlign w:val="center"/>
          </w:tcPr>
          <w:p w14:paraId="18235B0D">
            <w:pPr>
              <w:jc w:val="left"/>
              <w:rPr>
                <w:rFonts w:hint="eastAsia" w:ascii="宋体" w:hAnsi="宋体" w:eastAsia="宋体" w:cs="宋体"/>
              </w:rPr>
            </w:pPr>
            <w:r>
              <w:rPr>
                <w:rFonts w:hint="eastAsia" w:ascii="宋体" w:hAnsi="宋体" w:eastAsia="宋体" w:cs="宋体"/>
              </w:rPr>
              <w:t>1、包含：PP水槽、三联水龙头、滴水架、洗眼器，                                                                2、配套安装自来水上下水管以及接头软管、开关阀门等，排水管需要在地面开孔穿管至下一层安装等</w:t>
            </w:r>
          </w:p>
        </w:tc>
        <w:tc>
          <w:tcPr>
            <w:tcW w:w="398" w:type="pct"/>
            <w:noWrap/>
            <w:vAlign w:val="center"/>
          </w:tcPr>
          <w:p w14:paraId="063172E7">
            <w:pPr>
              <w:jc w:val="center"/>
              <w:rPr>
                <w:rFonts w:hint="eastAsia" w:ascii="宋体" w:hAnsi="宋体" w:eastAsia="宋体" w:cs="宋体"/>
              </w:rPr>
            </w:pPr>
            <w:r>
              <w:rPr>
                <w:rFonts w:hint="eastAsia" w:ascii="宋体" w:hAnsi="宋体" w:eastAsia="宋体" w:cs="宋体"/>
              </w:rPr>
              <w:t>套</w:t>
            </w:r>
          </w:p>
        </w:tc>
        <w:tc>
          <w:tcPr>
            <w:tcW w:w="441" w:type="pct"/>
            <w:noWrap/>
            <w:vAlign w:val="center"/>
          </w:tcPr>
          <w:p w14:paraId="4F58D9C3">
            <w:pPr>
              <w:jc w:val="center"/>
              <w:rPr>
                <w:rFonts w:hint="eastAsia" w:ascii="宋体" w:hAnsi="宋体" w:eastAsia="宋体" w:cs="宋体"/>
              </w:rPr>
            </w:pPr>
            <w:r>
              <w:rPr>
                <w:rFonts w:hint="eastAsia" w:ascii="宋体" w:hAnsi="宋体" w:eastAsia="宋体" w:cs="宋体"/>
              </w:rPr>
              <w:t>2</w:t>
            </w:r>
          </w:p>
        </w:tc>
        <w:tc>
          <w:tcPr>
            <w:tcW w:w="449" w:type="pct"/>
            <w:noWrap/>
            <w:vAlign w:val="center"/>
          </w:tcPr>
          <w:p w14:paraId="50E3DCA4">
            <w:pPr>
              <w:jc w:val="center"/>
              <w:rPr>
                <w:rFonts w:hint="default" w:ascii="宋体" w:hAnsi="宋体" w:eastAsia="宋体" w:cs="宋体"/>
                <w:lang w:val="en-US" w:eastAsia="zh-CN"/>
              </w:rPr>
            </w:pPr>
            <w:r>
              <w:rPr>
                <w:rFonts w:hint="eastAsia" w:ascii="宋体" w:hAnsi="宋体" w:eastAsia="宋体" w:cs="宋体"/>
                <w:lang w:val="en-US" w:eastAsia="zh-CN"/>
              </w:rPr>
              <w:t>1400</w:t>
            </w:r>
          </w:p>
        </w:tc>
        <w:tc>
          <w:tcPr>
            <w:tcW w:w="482" w:type="pct"/>
            <w:noWrap/>
            <w:vAlign w:val="center"/>
          </w:tcPr>
          <w:p w14:paraId="54E73E89">
            <w:pPr>
              <w:jc w:val="center"/>
              <w:rPr>
                <w:rFonts w:hint="default" w:ascii="宋体" w:hAnsi="宋体" w:eastAsia="宋体" w:cs="宋体"/>
                <w:lang w:val="en-US" w:eastAsia="zh-CN"/>
              </w:rPr>
            </w:pPr>
            <w:r>
              <w:rPr>
                <w:rFonts w:hint="eastAsia" w:ascii="宋体" w:hAnsi="宋体" w:eastAsia="宋体" w:cs="宋体"/>
                <w:lang w:val="en-US" w:eastAsia="zh-CN"/>
              </w:rPr>
              <w:t>2800</w:t>
            </w:r>
          </w:p>
        </w:tc>
      </w:tr>
      <w:tr w14:paraId="3E0D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392" w:type="pct"/>
            <w:noWrap/>
            <w:vAlign w:val="center"/>
          </w:tcPr>
          <w:p w14:paraId="31BF492D">
            <w:pPr>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678" w:type="pct"/>
            <w:noWrap/>
            <w:vAlign w:val="center"/>
          </w:tcPr>
          <w:p w14:paraId="65925CC9">
            <w:pPr>
              <w:jc w:val="center"/>
              <w:rPr>
                <w:rFonts w:hint="eastAsia" w:ascii="宋体" w:hAnsi="宋体" w:eastAsia="宋体" w:cs="宋体"/>
              </w:rPr>
            </w:pPr>
            <w:r>
              <w:rPr>
                <w:rFonts w:hint="eastAsia" w:ascii="宋体" w:hAnsi="宋体" w:eastAsia="宋体" w:cs="宋体"/>
              </w:rPr>
              <w:t>全钢通风柜</w:t>
            </w:r>
          </w:p>
        </w:tc>
        <w:tc>
          <w:tcPr>
            <w:tcW w:w="2156" w:type="pct"/>
            <w:vAlign w:val="center"/>
          </w:tcPr>
          <w:p w14:paraId="49303631">
            <w:pPr>
              <w:jc w:val="left"/>
              <w:rPr>
                <w:rFonts w:hint="eastAsia" w:ascii="宋体" w:hAnsi="宋体" w:eastAsia="宋体" w:cs="宋体"/>
              </w:rPr>
            </w:pPr>
            <w:r>
              <w:rPr>
                <w:rFonts w:hint="eastAsia" w:ascii="宋体" w:hAnsi="宋体" w:eastAsia="宋体" w:cs="宋体"/>
                <w:lang w:val="en-US" w:eastAsia="zh-CN"/>
              </w:rPr>
              <w:t>规格：</w:t>
            </w:r>
            <w:r>
              <w:rPr>
                <w:rFonts w:hint="eastAsia" w:ascii="宋体" w:hAnsi="宋体" w:eastAsia="宋体" w:cs="宋体"/>
              </w:rPr>
              <w:t>1</w:t>
            </w:r>
            <w:r>
              <w:rPr>
                <w:rFonts w:hint="eastAsia" w:ascii="宋体" w:hAnsi="宋体" w:eastAsia="宋体" w:cs="宋体"/>
                <w:lang w:val="en-US" w:eastAsia="zh-CN"/>
              </w:rPr>
              <w:t>5</w:t>
            </w:r>
            <w:r>
              <w:rPr>
                <w:rFonts w:hint="eastAsia" w:ascii="宋体" w:hAnsi="宋体" w:eastAsia="宋体" w:cs="宋体"/>
              </w:rPr>
              <w:t>00*850*2350mm</w:t>
            </w:r>
          </w:p>
          <w:p w14:paraId="60EE429C">
            <w:pPr>
              <w:jc w:val="left"/>
              <w:rPr>
                <w:rFonts w:hint="eastAsia" w:ascii="宋体" w:hAnsi="宋体" w:eastAsia="宋体" w:cs="宋体"/>
              </w:rPr>
            </w:pPr>
            <w:r>
              <w:rPr>
                <w:rFonts w:hint="eastAsia" w:ascii="宋体" w:hAnsi="宋体" w:eastAsia="宋体" w:cs="宋体"/>
              </w:rPr>
              <w:t>1.1柜体为上下组合式柜体，上部柜体为通风柜操作空间，并含操作台面照明，插座等实验需要附件，下部柜体为储存柜体。</w:t>
            </w:r>
          </w:p>
          <w:p w14:paraId="28061888">
            <w:pPr>
              <w:jc w:val="left"/>
              <w:rPr>
                <w:rFonts w:hint="eastAsia" w:ascii="宋体" w:hAnsi="宋体" w:eastAsia="宋体" w:cs="宋体"/>
              </w:rPr>
            </w:pPr>
            <w:r>
              <w:rPr>
                <w:rFonts w:hint="eastAsia" w:ascii="宋体" w:hAnsi="宋体" w:eastAsia="宋体" w:cs="宋体"/>
              </w:rPr>
              <w:t>1.1.1上柜主体材料为≥1mm厚冷轧钢板，正面左右两侧操作面板后方为功能柱式的夹层结构，夹层内空间宽度≥95mm，以便容纳安装电、气等系统管线，台面操作宽度应≥1250mm;</w:t>
            </w:r>
          </w:p>
          <w:p w14:paraId="0A00A368">
            <w:pPr>
              <w:jc w:val="left"/>
              <w:rPr>
                <w:rFonts w:hint="eastAsia" w:ascii="宋体" w:hAnsi="宋体" w:eastAsia="宋体" w:cs="宋体"/>
              </w:rPr>
            </w:pPr>
            <w:r>
              <w:rPr>
                <w:rFonts w:hint="eastAsia" w:ascii="宋体" w:hAnsi="宋体" w:eastAsia="宋体" w:cs="宋体"/>
              </w:rPr>
              <w:t>▲1.1.2通风柜主体耐腐蚀性：依据GB/T 10125-2021标准，进行168h中性盐雾连续喷雾试验后，镀(涂)层对基体的保护等级≥10级，镀(涂)层本身耐腐蚀等级10级。（需提供具有符合CMA 、CNAS认可的第三方检测机构出具的检测报告）</w:t>
            </w:r>
          </w:p>
          <w:p w14:paraId="66221F26">
            <w:pPr>
              <w:jc w:val="left"/>
              <w:rPr>
                <w:rFonts w:hint="eastAsia" w:ascii="宋体" w:hAnsi="宋体" w:eastAsia="宋体" w:cs="宋体"/>
              </w:rPr>
            </w:pPr>
            <w:r>
              <w:rPr>
                <w:rFonts w:hint="eastAsia" w:ascii="宋体" w:hAnsi="宋体" w:eastAsia="宋体" w:cs="宋体"/>
              </w:rPr>
              <w:t>1.2上柜内衬板:材料为≥5mm厚的实验室专用内衬板，外观胚体五面白色，具有阻燃、耐高温、耐火、抗酸碱腐蚀等特性。</w:t>
            </w:r>
          </w:p>
          <w:p w14:paraId="7C4D76F8">
            <w:pPr>
              <w:jc w:val="left"/>
              <w:rPr>
                <w:rFonts w:hint="eastAsia" w:ascii="宋体" w:hAnsi="宋体" w:eastAsia="宋体" w:cs="宋体"/>
              </w:rPr>
            </w:pPr>
            <w:r>
              <w:rPr>
                <w:rFonts w:hint="eastAsia" w:ascii="宋体" w:hAnsi="宋体" w:eastAsia="宋体" w:cs="宋体"/>
              </w:rPr>
              <w:t>1.3导流板:结构设置合理，其材质与内衬板相同，导流板安装位置与角度需使排气分布均匀，在标准状況下，导流板上方与中、下方出口排员量各约50±10％，以确保不同比重之气体均能有效排除。</w:t>
            </w:r>
          </w:p>
          <w:p w14:paraId="1E6407A9">
            <w:pPr>
              <w:jc w:val="left"/>
              <w:rPr>
                <w:rFonts w:hint="eastAsia" w:ascii="宋体" w:hAnsi="宋体" w:eastAsia="宋体" w:cs="宋体"/>
              </w:rPr>
            </w:pPr>
            <w:r>
              <w:rPr>
                <w:rFonts w:hint="eastAsia" w:ascii="宋体" w:hAnsi="宋体" w:eastAsia="宋体" w:cs="宋体"/>
              </w:rPr>
              <w:t>1.4导流板安装:采用防腐料山脚架做街接件，便于清洁维护。</w:t>
            </w:r>
          </w:p>
          <w:p w14:paraId="5DEF19C6">
            <w:pPr>
              <w:jc w:val="left"/>
              <w:rPr>
                <w:rFonts w:hint="eastAsia" w:ascii="宋体" w:hAnsi="宋体" w:eastAsia="宋体" w:cs="宋体"/>
              </w:rPr>
            </w:pPr>
            <w:r>
              <w:rPr>
                <w:rFonts w:hint="eastAsia" w:ascii="宋体" w:hAnsi="宋体" w:eastAsia="宋体" w:cs="宋体"/>
              </w:rPr>
              <w:t>1.5集气风罩:采用PP集气罩，集气罩需具有良好的锥形集气角度及圆滑度，保证集气平均性及低压损。</w:t>
            </w:r>
          </w:p>
          <w:p w14:paraId="4F163FE2">
            <w:pPr>
              <w:jc w:val="left"/>
              <w:rPr>
                <w:rFonts w:hint="eastAsia" w:ascii="宋体" w:hAnsi="宋体" w:eastAsia="宋体" w:cs="宋体"/>
              </w:rPr>
            </w:pPr>
            <w:r>
              <w:rPr>
                <w:rFonts w:hint="eastAsia" w:ascii="宋体" w:hAnsi="宋体" w:eastAsia="宋体" w:cs="宋体"/>
              </w:rPr>
              <w:t>1.6操作台面:</w:t>
            </w:r>
          </w:p>
          <w:p w14:paraId="55B668B2">
            <w:pPr>
              <w:jc w:val="left"/>
              <w:rPr>
                <w:rFonts w:hint="eastAsia" w:ascii="宋体" w:hAnsi="宋体" w:eastAsia="宋体" w:cs="宋体"/>
              </w:rPr>
            </w:pPr>
            <w:r>
              <w:rPr>
                <w:rFonts w:hint="eastAsia" w:ascii="宋体" w:hAnsi="宋体" w:eastAsia="宋体" w:cs="宋体"/>
              </w:rPr>
              <w:t>1.7下柜:采用厚≥1.0mm冷轧钢板机压成型制作，表面经 EPOXY粉体静电烤漆处理，柜体附高低调整脚，调整脚为4分调节螺杆，下衬防震、防水、防锈之耐蚀橡皮底座。其性能要求如下：</w:t>
            </w:r>
          </w:p>
          <w:p w14:paraId="4B99904B">
            <w:pPr>
              <w:jc w:val="left"/>
              <w:rPr>
                <w:rFonts w:hint="eastAsia" w:ascii="宋体" w:hAnsi="宋体" w:eastAsia="宋体" w:cs="宋体"/>
              </w:rPr>
            </w:pPr>
            <w:r>
              <w:rPr>
                <w:rFonts w:hint="eastAsia" w:ascii="宋体" w:hAnsi="宋体" w:eastAsia="宋体" w:cs="宋体"/>
              </w:rPr>
              <w:t>(1)承重要求：</w:t>
            </w:r>
          </w:p>
          <w:p w14:paraId="3A5AE1E8">
            <w:pPr>
              <w:jc w:val="left"/>
              <w:rPr>
                <w:rFonts w:hint="eastAsia" w:ascii="宋体" w:hAnsi="宋体" w:eastAsia="宋体" w:cs="宋体"/>
              </w:rPr>
            </w:pPr>
            <w:r>
              <w:rPr>
                <w:rFonts w:hint="eastAsia" w:ascii="宋体" w:hAnsi="宋体" w:eastAsia="宋体" w:cs="宋体"/>
              </w:rPr>
              <w:t>1）落地式底柜柜体荷重性能检测：≥900公斤，结论为“符合”；</w:t>
            </w:r>
          </w:p>
          <w:p w14:paraId="00E2635B">
            <w:pPr>
              <w:jc w:val="left"/>
              <w:rPr>
                <w:rFonts w:hint="eastAsia" w:ascii="宋体" w:hAnsi="宋体" w:eastAsia="宋体" w:cs="宋体"/>
              </w:rPr>
            </w:pPr>
            <w:r>
              <w:rPr>
                <w:rFonts w:hint="eastAsia" w:ascii="宋体" w:hAnsi="宋体" w:eastAsia="宋体" w:cs="宋体"/>
              </w:rPr>
              <w:t>2）落地式底柜柜体集中荷重性能检测：≥90公斤，结论为“符合”；</w:t>
            </w:r>
          </w:p>
          <w:p w14:paraId="03013437">
            <w:pPr>
              <w:jc w:val="left"/>
              <w:rPr>
                <w:rFonts w:hint="eastAsia" w:ascii="宋体" w:hAnsi="宋体" w:eastAsia="宋体" w:cs="宋体"/>
              </w:rPr>
            </w:pPr>
            <w:r>
              <w:rPr>
                <w:rFonts w:hint="eastAsia" w:ascii="宋体" w:hAnsi="宋体" w:eastAsia="宋体" w:cs="宋体"/>
              </w:rPr>
              <w:t>3）抽屉循环性能检测：打开和关闭加载抽屉的推拉力应不超过3.63kg，结论为“符合”；</w:t>
            </w:r>
          </w:p>
          <w:p w14:paraId="27ED0502">
            <w:pPr>
              <w:jc w:val="left"/>
              <w:rPr>
                <w:rFonts w:hint="eastAsia" w:ascii="宋体" w:hAnsi="宋体" w:eastAsia="宋体" w:cs="宋体"/>
              </w:rPr>
            </w:pPr>
            <w:r>
              <w:rPr>
                <w:rFonts w:hint="eastAsia" w:ascii="宋体" w:hAnsi="宋体" w:eastAsia="宋体" w:cs="宋体"/>
              </w:rPr>
              <w:t>(2）柜体表面喷涂性能要求：</w:t>
            </w:r>
          </w:p>
          <w:p w14:paraId="690742CA">
            <w:pPr>
              <w:jc w:val="left"/>
              <w:rPr>
                <w:rFonts w:hint="eastAsia" w:ascii="宋体" w:hAnsi="宋体" w:eastAsia="宋体" w:cs="宋体"/>
              </w:rPr>
            </w:pPr>
            <w:r>
              <w:rPr>
                <w:rFonts w:hint="eastAsia" w:ascii="宋体" w:hAnsi="宋体" w:eastAsia="宋体" w:cs="宋体"/>
              </w:rPr>
              <w:t>1）化学试剂痕迹试验：耐指定的49种化学试剂，漆面结果是等级3的情况不应多于4个；</w:t>
            </w:r>
          </w:p>
          <w:p w14:paraId="2038E30A">
            <w:pPr>
              <w:jc w:val="left"/>
              <w:rPr>
                <w:rFonts w:hint="eastAsia" w:ascii="宋体" w:hAnsi="宋体" w:eastAsia="宋体" w:cs="宋体"/>
              </w:rPr>
            </w:pPr>
            <w:r>
              <w:rPr>
                <w:rFonts w:hint="eastAsia" w:ascii="宋体" w:hAnsi="宋体" w:eastAsia="宋体" w:cs="宋体"/>
              </w:rPr>
              <w:t>2）产品表面涂层可迁移元素的限量：金属件喷涂层性能符合GB 18584-2024标准：其中锑、砷、钡镉、铬、铅、汞、硒重金属物检测结果为未检出。</w:t>
            </w:r>
          </w:p>
          <w:p w14:paraId="1326C813">
            <w:pPr>
              <w:jc w:val="left"/>
              <w:rPr>
                <w:rFonts w:hint="eastAsia" w:ascii="宋体" w:hAnsi="宋体" w:eastAsia="宋体" w:cs="宋体"/>
              </w:rPr>
            </w:pPr>
            <w:r>
              <w:rPr>
                <w:rFonts w:hint="eastAsia" w:ascii="宋体" w:hAnsi="宋体" w:eastAsia="宋体" w:cs="宋体"/>
              </w:rPr>
              <w:t>3）硬度试验：漆膜硬度应在 4H 铅笔硬度或以上。</w:t>
            </w:r>
          </w:p>
          <w:p w14:paraId="38D44F1D">
            <w:pPr>
              <w:jc w:val="left"/>
              <w:rPr>
                <w:rFonts w:hint="eastAsia" w:ascii="宋体" w:hAnsi="宋体" w:eastAsia="宋体" w:cs="宋体"/>
              </w:rPr>
            </w:pPr>
            <w:r>
              <w:rPr>
                <w:rFonts w:hint="eastAsia" w:ascii="宋体" w:hAnsi="宋体" w:eastAsia="宋体" w:cs="宋体"/>
              </w:rPr>
              <w:t>4）依据GB/T 3325-2024标准，漆膜附着测试等级不低于2级。</w:t>
            </w:r>
          </w:p>
          <w:p w14:paraId="240AAF86">
            <w:pPr>
              <w:jc w:val="left"/>
              <w:rPr>
                <w:rFonts w:hint="eastAsia" w:ascii="宋体" w:hAnsi="宋体" w:eastAsia="宋体" w:cs="宋体"/>
              </w:rPr>
            </w:pPr>
            <w:r>
              <w:rPr>
                <w:rFonts w:hint="eastAsia" w:ascii="宋体" w:hAnsi="宋体" w:eastAsia="宋体" w:cs="宋体"/>
              </w:rPr>
              <w:t>1.8调节门外框及轨道:</w:t>
            </w:r>
          </w:p>
          <w:p w14:paraId="28827967">
            <w:pPr>
              <w:jc w:val="left"/>
              <w:rPr>
                <w:rFonts w:hint="eastAsia" w:ascii="宋体" w:hAnsi="宋体" w:eastAsia="宋体" w:cs="宋体"/>
              </w:rPr>
            </w:pPr>
            <w:r>
              <w:rPr>
                <w:rFonts w:hint="eastAsia" w:ascii="宋体" w:hAnsi="宋体" w:eastAsia="宋体" w:cs="宋体"/>
              </w:rPr>
              <w:t>▲（1）调节门:铝合金材质表面经 EPOXY粉体烤漆制作。依据（GB/T 29739-2013 7.3标准，反复启闭耐久性≥50万次，检测结果：符合要求。（需提供具有符合CMA 、CNAS认可的第三方检测机构出具的检测报告）</w:t>
            </w:r>
          </w:p>
          <w:p w14:paraId="3F1D4CD3">
            <w:pPr>
              <w:jc w:val="left"/>
              <w:rPr>
                <w:rFonts w:hint="eastAsia" w:ascii="宋体" w:hAnsi="宋体" w:eastAsia="宋体" w:cs="宋体"/>
              </w:rPr>
            </w:pPr>
            <w:r>
              <w:rPr>
                <w:rFonts w:hint="eastAsia" w:ascii="宋体" w:hAnsi="宋体" w:eastAsia="宋体" w:cs="宋体"/>
              </w:rPr>
              <w:t>（2）轨道材质:采用铝合金专用模具成型，表面经 EPOXY粉体烤漆制作。</w:t>
            </w:r>
          </w:p>
          <w:p w14:paraId="2E753B35">
            <w:pPr>
              <w:jc w:val="left"/>
              <w:rPr>
                <w:rFonts w:hint="eastAsia" w:ascii="宋体" w:hAnsi="宋体" w:eastAsia="宋体" w:cs="宋体"/>
              </w:rPr>
            </w:pPr>
            <w:r>
              <w:rPr>
                <w:rFonts w:hint="eastAsia" w:ascii="宋体" w:hAnsi="宋体" w:eastAsia="宋体" w:cs="宋体"/>
              </w:rPr>
              <w:t>（3）调节门左右悬吊同步带安装，需完全隐匿于轨道内，上下拉动时不与轨道摩擦以确保钢索之安全，并避免化学腐蚀的问题。</w:t>
            </w:r>
          </w:p>
          <w:p w14:paraId="355A974D">
            <w:pPr>
              <w:jc w:val="left"/>
              <w:rPr>
                <w:rFonts w:hint="eastAsia" w:ascii="宋体" w:hAnsi="宋体" w:eastAsia="宋体" w:cs="宋体"/>
              </w:rPr>
            </w:pPr>
            <w:r>
              <w:rPr>
                <w:rFonts w:hint="eastAsia" w:ascii="宋体" w:hAnsi="宋体" w:eastAsia="宋体" w:cs="宋体"/>
              </w:rPr>
              <w:t>（4）调节门把手设计，需符合人体工学要求以方便使用者上下拉动施力。</w:t>
            </w:r>
          </w:p>
          <w:p w14:paraId="0B7AF7C6">
            <w:pPr>
              <w:jc w:val="left"/>
              <w:rPr>
                <w:rFonts w:hint="eastAsia" w:ascii="宋体" w:hAnsi="宋体" w:eastAsia="宋体" w:cs="宋体"/>
              </w:rPr>
            </w:pPr>
            <w:r>
              <w:rPr>
                <w:rFonts w:hint="eastAsia" w:ascii="宋体" w:hAnsi="宋体" w:eastAsia="宋体" w:cs="宋体"/>
              </w:rPr>
              <w:t>（5）调节门玻璃:采用5mm安全玻璃。</w:t>
            </w:r>
          </w:p>
          <w:p w14:paraId="326D0C68">
            <w:pPr>
              <w:jc w:val="left"/>
              <w:rPr>
                <w:rFonts w:hint="eastAsia" w:ascii="宋体" w:hAnsi="宋体" w:eastAsia="宋体" w:cs="宋体"/>
              </w:rPr>
            </w:pPr>
            <w:r>
              <w:rPr>
                <w:rFonts w:hint="eastAsia" w:ascii="宋体" w:hAnsi="宋体" w:eastAsia="宋体" w:cs="宋体"/>
              </w:rPr>
              <w:t>（6）同步带轮组:</w:t>
            </w:r>
          </w:p>
          <w:p w14:paraId="38017FB5">
            <w:pPr>
              <w:jc w:val="left"/>
              <w:rPr>
                <w:rFonts w:hint="eastAsia" w:ascii="宋体" w:hAnsi="宋体" w:eastAsia="宋体" w:cs="宋体"/>
              </w:rPr>
            </w:pPr>
            <w:r>
              <w:rPr>
                <w:rFonts w:hint="eastAsia" w:ascii="宋体" w:hAnsi="宋体" w:eastAsia="宋体" w:cs="宋体"/>
              </w:rPr>
              <w:t>1)、同步带轮固定座:采用厚2mm镀锌钢板机压成型，具双面包夹式防落设计，以确保安全。（冷轧板）</w:t>
            </w:r>
          </w:p>
          <w:p w14:paraId="2292C8A9">
            <w:pPr>
              <w:jc w:val="left"/>
              <w:rPr>
                <w:rFonts w:hint="eastAsia" w:ascii="宋体" w:hAnsi="宋体" w:eastAsia="宋体" w:cs="宋体"/>
              </w:rPr>
            </w:pPr>
            <w:r>
              <w:rPr>
                <w:rFonts w:hint="eastAsia" w:ascii="宋体" w:hAnsi="宋体" w:eastAsia="宋体" w:cs="宋体"/>
              </w:rPr>
              <w:t>2)、同步带轮:带轮由45＃钢制造，传动准确、平衡、噪音小、无滑差，并具结构紧凑、宜于多轴传动、耐油、耐潮、耐腐、不需要润滑。（硬塑同步轮）</w:t>
            </w:r>
          </w:p>
          <w:p w14:paraId="5F06D6E4">
            <w:pPr>
              <w:jc w:val="left"/>
              <w:rPr>
                <w:rFonts w:hint="eastAsia" w:ascii="宋体" w:hAnsi="宋体" w:eastAsia="宋体" w:cs="宋体"/>
              </w:rPr>
            </w:pPr>
            <w:r>
              <w:rPr>
                <w:rFonts w:hint="eastAsia" w:ascii="宋体" w:hAnsi="宋体" w:eastAsia="宋体" w:cs="宋体"/>
              </w:rPr>
              <w:t>3)、滑轮轴承:采用滚珠轴承及钢制轴承中心棒制作。</w:t>
            </w:r>
          </w:p>
          <w:p w14:paraId="79997DB7">
            <w:pPr>
              <w:jc w:val="left"/>
              <w:rPr>
                <w:rFonts w:hint="eastAsia" w:ascii="宋体" w:hAnsi="宋体" w:eastAsia="宋体" w:cs="宋体"/>
              </w:rPr>
            </w:pPr>
            <w:r>
              <w:rPr>
                <w:rFonts w:hint="eastAsia" w:ascii="宋体" w:hAnsi="宋体" w:eastAsia="宋体" w:cs="宋体"/>
              </w:rPr>
              <w:t>4)、配重:固定滑槽设计，其上下行程具静音设计，避免摇晃碰撞。</w:t>
            </w:r>
          </w:p>
          <w:p w14:paraId="53D3C658">
            <w:pPr>
              <w:jc w:val="left"/>
              <w:rPr>
                <w:rFonts w:hint="eastAsia" w:ascii="宋体" w:hAnsi="宋体" w:eastAsia="宋体" w:cs="宋体"/>
              </w:rPr>
            </w:pPr>
            <w:r>
              <w:rPr>
                <w:rFonts w:hint="eastAsia" w:ascii="宋体" w:hAnsi="宋体" w:eastAsia="宋体" w:cs="宋体"/>
              </w:rPr>
              <w:t>1.9通风柜颜色要求：根据实际需求配置。</w:t>
            </w:r>
          </w:p>
          <w:p w14:paraId="04BC9CB6">
            <w:pPr>
              <w:jc w:val="left"/>
              <w:rPr>
                <w:rFonts w:hint="eastAsia" w:ascii="宋体" w:hAnsi="宋体" w:eastAsia="宋体" w:cs="宋体"/>
              </w:rPr>
            </w:pPr>
            <w:r>
              <w:rPr>
                <w:rFonts w:hint="eastAsia" w:ascii="宋体" w:hAnsi="宋体" w:eastAsia="宋体" w:cs="宋体"/>
              </w:rPr>
              <w:t>1.10照明设备:采用LED600*1200C 68W，照度不低于500lux。</w:t>
            </w:r>
          </w:p>
          <w:p w14:paraId="7CD74F30">
            <w:pPr>
              <w:jc w:val="left"/>
              <w:rPr>
                <w:rFonts w:hint="eastAsia" w:ascii="宋体" w:hAnsi="宋体" w:eastAsia="宋体" w:cs="宋体"/>
              </w:rPr>
            </w:pPr>
            <w:r>
              <w:rPr>
                <w:rFonts w:hint="eastAsia" w:ascii="宋体" w:hAnsi="宋体" w:eastAsia="宋体" w:cs="宋体"/>
              </w:rPr>
              <w:t>1.11控制面板:采用专用控制面板，设有电源、开关、照明、风机以及运转指示灯等按钮，显示通风柜的运行情况。</w:t>
            </w:r>
          </w:p>
          <w:p w14:paraId="24A7489B">
            <w:pPr>
              <w:jc w:val="left"/>
              <w:rPr>
                <w:rFonts w:hint="eastAsia" w:ascii="宋体" w:hAnsi="宋体" w:eastAsia="宋体" w:cs="宋体"/>
              </w:rPr>
            </w:pPr>
            <w:r>
              <w:rPr>
                <w:rFonts w:hint="eastAsia" w:ascii="宋体" w:hAnsi="宋体" w:eastAsia="宋体" w:cs="宋体"/>
              </w:rPr>
              <w:t>1.12其它电气配置:插座4个，220V/10A配4个。</w:t>
            </w:r>
          </w:p>
          <w:p w14:paraId="4DB5BC81">
            <w:pPr>
              <w:jc w:val="left"/>
              <w:rPr>
                <w:rFonts w:hint="eastAsia" w:ascii="宋体" w:hAnsi="宋体" w:eastAsia="宋体" w:cs="宋体"/>
              </w:rPr>
            </w:pPr>
            <w:r>
              <w:rPr>
                <w:rFonts w:hint="eastAsia" w:ascii="宋体" w:hAnsi="宋体" w:eastAsia="宋体" w:cs="宋体"/>
              </w:rPr>
              <w:t>1.13水龙头和水槽：采用全铜材质，表面采用高亮度环氧树脂涂层，耐磨陶瓷阀芯，水嘴设远距离操作把手，加防溅滤水器、鹅颈管，可360度旋转；杯槽尺寸不小于298*149，采用高密度PP新料注塑成型，耐腐蚀、耐酸碱和有机物，如王水等; 稳定性强，并具弹性、韧性，不易老化耐划。（杯槽需提供实物）</w:t>
            </w:r>
          </w:p>
          <w:p w14:paraId="1E5DB262">
            <w:pPr>
              <w:jc w:val="left"/>
              <w:rPr>
                <w:rFonts w:hint="eastAsia" w:ascii="宋体" w:hAnsi="宋体" w:eastAsia="宋体" w:cs="宋体"/>
              </w:rPr>
            </w:pPr>
            <w:r>
              <w:rPr>
                <w:rFonts w:hint="eastAsia" w:ascii="宋体" w:hAnsi="宋体" w:eastAsia="宋体" w:cs="宋体"/>
              </w:rPr>
              <w:t>▲1.14通风柜性能要求：</w:t>
            </w:r>
          </w:p>
          <w:p w14:paraId="2012765D">
            <w:pPr>
              <w:jc w:val="left"/>
              <w:rPr>
                <w:rFonts w:hint="eastAsia" w:ascii="宋体" w:hAnsi="宋体" w:eastAsia="宋体" w:cs="宋体"/>
              </w:rPr>
            </w:pPr>
            <w:r>
              <w:rPr>
                <w:rFonts w:hint="eastAsia" w:ascii="宋体" w:hAnsi="宋体" w:eastAsia="宋体" w:cs="宋体"/>
              </w:rPr>
              <w:t>（1）根据ASHRAE 110-2016标准要求</w:t>
            </w:r>
          </w:p>
          <w:p w14:paraId="0426E32F">
            <w:pPr>
              <w:jc w:val="left"/>
              <w:rPr>
                <w:rFonts w:hint="eastAsia" w:ascii="宋体" w:hAnsi="宋体" w:eastAsia="宋体" w:cs="宋体"/>
              </w:rPr>
            </w:pPr>
            <w:r>
              <w:rPr>
                <w:rFonts w:hint="eastAsia" w:ascii="宋体" w:hAnsi="宋体" w:eastAsia="宋体" w:cs="宋体"/>
              </w:rPr>
              <w:t>1）设计面风速0.3 m/s、排风柜拉门高度457 mm，阻力≤24pa。</w:t>
            </w:r>
          </w:p>
          <w:p w14:paraId="6B77645F">
            <w:pPr>
              <w:jc w:val="left"/>
              <w:rPr>
                <w:rFonts w:hint="eastAsia" w:ascii="宋体" w:hAnsi="宋体" w:eastAsia="宋体" w:cs="宋体"/>
              </w:rPr>
            </w:pPr>
            <w:r>
              <w:rPr>
                <w:rFonts w:hint="eastAsia" w:ascii="宋体" w:hAnsi="宋体" w:eastAsia="宋体" w:cs="宋体"/>
              </w:rPr>
              <w:t>2）可视化－小烟雾：无可见外溢或逃逸；</w:t>
            </w:r>
          </w:p>
          <w:p w14:paraId="2CAF5805">
            <w:pPr>
              <w:jc w:val="left"/>
              <w:rPr>
                <w:rFonts w:hint="eastAsia" w:ascii="宋体" w:hAnsi="宋体" w:eastAsia="宋体" w:cs="宋体"/>
              </w:rPr>
            </w:pPr>
            <w:r>
              <w:rPr>
                <w:rFonts w:hint="eastAsia" w:ascii="宋体" w:hAnsi="宋体" w:eastAsia="宋体" w:cs="宋体"/>
              </w:rPr>
              <w:t>3）可视化－大烟雾：无可见外溢或逃逸；</w:t>
            </w:r>
          </w:p>
          <w:p w14:paraId="6756C0A5">
            <w:pPr>
              <w:jc w:val="left"/>
              <w:rPr>
                <w:rFonts w:hint="eastAsia" w:ascii="宋体" w:hAnsi="宋体" w:eastAsia="宋体" w:cs="宋体"/>
              </w:rPr>
            </w:pPr>
            <w:r>
              <w:rPr>
                <w:rFonts w:hint="eastAsia" w:ascii="宋体" w:hAnsi="宋体" w:eastAsia="宋体" w:cs="宋体"/>
              </w:rPr>
              <w:t>4）示踪气体浓度测试，平均值0.00 ppm，峰值不大于0.01 ppm；</w:t>
            </w:r>
          </w:p>
          <w:p w14:paraId="7D107BE5">
            <w:pPr>
              <w:jc w:val="left"/>
              <w:rPr>
                <w:rFonts w:hint="eastAsia" w:ascii="宋体" w:hAnsi="宋体" w:eastAsia="宋体" w:cs="宋体"/>
              </w:rPr>
            </w:pPr>
            <w:r>
              <w:rPr>
                <w:rFonts w:hint="eastAsia" w:ascii="宋体" w:hAnsi="宋体" w:eastAsia="宋体" w:cs="宋体"/>
              </w:rPr>
              <w:t>5）拉门移动影响测试，平均值0.00 ppm，峰值不大于0.01 ppm；</w:t>
            </w:r>
          </w:p>
          <w:p w14:paraId="35520D29">
            <w:pPr>
              <w:jc w:val="left"/>
              <w:rPr>
                <w:rFonts w:hint="eastAsia" w:ascii="宋体" w:hAnsi="宋体" w:eastAsia="宋体" w:cs="宋体"/>
              </w:rPr>
            </w:pPr>
            <w:r>
              <w:rPr>
                <w:rFonts w:hint="eastAsia" w:ascii="宋体" w:hAnsi="宋体" w:eastAsia="宋体" w:cs="宋体"/>
              </w:rPr>
              <w:t>6）周边扫描测试，平均值0.00 ppm，峰值不大于0.01 ppm；</w:t>
            </w:r>
          </w:p>
          <w:p w14:paraId="66C0E7D3">
            <w:pPr>
              <w:jc w:val="left"/>
              <w:rPr>
                <w:rFonts w:hint="eastAsia" w:ascii="宋体" w:hAnsi="宋体" w:eastAsia="宋体" w:cs="宋体"/>
              </w:rPr>
            </w:pPr>
            <w:r>
              <w:rPr>
                <w:rFonts w:hint="eastAsia" w:ascii="宋体" w:hAnsi="宋体" w:eastAsia="宋体" w:cs="宋体"/>
              </w:rPr>
              <w:t>（2）根据EN 14175-3:2019 标准要求</w:t>
            </w:r>
          </w:p>
          <w:p w14:paraId="16583AE7">
            <w:pPr>
              <w:jc w:val="left"/>
              <w:rPr>
                <w:rFonts w:hint="eastAsia" w:ascii="宋体" w:hAnsi="宋体" w:eastAsia="宋体" w:cs="宋体"/>
              </w:rPr>
            </w:pPr>
            <w:r>
              <w:rPr>
                <w:rFonts w:hint="eastAsia" w:ascii="宋体" w:hAnsi="宋体" w:eastAsia="宋体" w:cs="宋体"/>
              </w:rPr>
              <w:t>1）排风柜拉门高度500 mm，面风速试验0.3m/s，阻力≤24pa。</w:t>
            </w:r>
          </w:p>
          <w:p w14:paraId="3760F43C">
            <w:pPr>
              <w:jc w:val="left"/>
              <w:rPr>
                <w:rFonts w:hint="eastAsia" w:ascii="宋体" w:hAnsi="宋体" w:eastAsia="宋体" w:cs="宋体"/>
              </w:rPr>
            </w:pPr>
            <w:r>
              <w:rPr>
                <w:rFonts w:hint="eastAsia" w:ascii="宋体" w:hAnsi="宋体" w:eastAsia="宋体" w:cs="宋体"/>
              </w:rPr>
              <w:t xml:space="preserve">2）浓度测试（内侧法）：&lt; 0.01ppm  </w:t>
            </w:r>
          </w:p>
          <w:p w14:paraId="14C64648">
            <w:pPr>
              <w:jc w:val="left"/>
              <w:rPr>
                <w:rFonts w:hint="eastAsia" w:ascii="宋体" w:hAnsi="宋体" w:eastAsia="宋体" w:cs="宋体"/>
              </w:rPr>
            </w:pPr>
            <w:r>
              <w:rPr>
                <w:rFonts w:hint="eastAsia" w:ascii="宋体" w:hAnsi="宋体" w:eastAsia="宋体" w:cs="宋体"/>
              </w:rPr>
              <w:t xml:space="preserve">3）浓度测试（外侧法）：&lt; 0.01ppm </w:t>
            </w:r>
          </w:p>
          <w:p w14:paraId="5640BD65">
            <w:pPr>
              <w:jc w:val="left"/>
              <w:rPr>
                <w:rFonts w:hint="eastAsia" w:ascii="宋体" w:hAnsi="宋体" w:eastAsia="宋体" w:cs="宋体"/>
              </w:rPr>
            </w:pPr>
            <w:r>
              <w:rPr>
                <w:rFonts w:hint="eastAsia" w:ascii="宋体" w:hAnsi="宋体" w:eastAsia="宋体" w:cs="宋体"/>
              </w:rPr>
              <w:t>4）扰流测试平均值≤ 0.1 ppm</w:t>
            </w:r>
          </w:p>
          <w:p w14:paraId="5400B659">
            <w:pPr>
              <w:jc w:val="left"/>
              <w:rPr>
                <w:rFonts w:hint="eastAsia" w:ascii="宋体" w:hAnsi="宋体" w:eastAsia="宋体" w:cs="宋体"/>
              </w:rPr>
            </w:pPr>
            <w:r>
              <w:rPr>
                <w:rFonts w:hint="eastAsia" w:ascii="宋体" w:hAnsi="宋体" w:eastAsia="宋体" w:cs="宋体"/>
              </w:rPr>
              <w:t>5）空气交换效率 ≥ 75%</w:t>
            </w:r>
          </w:p>
          <w:p w14:paraId="740C5FEF">
            <w:pPr>
              <w:jc w:val="left"/>
              <w:rPr>
                <w:rFonts w:hint="eastAsia" w:ascii="宋体" w:hAnsi="宋体" w:eastAsia="宋体" w:cs="宋体"/>
              </w:rPr>
            </w:pPr>
            <w:r>
              <w:rPr>
                <w:rFonts w:hint="eastAsia" w:ascii="宋体" w:hAnsi="宋体" w:eastAsia="宋体" w:cs="宋体"/>
              </w:rPr>
              <w:t>（需提供具有符合CMA 、CNAS认可的第三方检测机构出具的检测报告）</w:t>
            </w:r>
          </w:p>
          <w:p w14:paraId="32F1EB12">
            <w:pPr>
              <w:jc w:val="left"/>
              <w:rPr>
                <w:rFonts w:hint="eastAsia" w:ascii="宋体" w:hAnsi="宋体" w:eastAsia="宋体" w:cs="宋体"/>
              </w:rPr>
            </w:pPr>
            <w:r>
              <w:rPr>
                <w:rFonts w:hint="eastAsia" w:ascii="宋体" w:hAnsi="宋体" w:eastAsia="宋体" w:cs="宋体"/>
              </w:rPr>
              <w:t>1.15选配装置（水配件等，根据实际情况选用）：</w:t>
            </w:r>
          </w:p>
          <w:p w14:paraId="5BCDCC86">
            <w:pPr>
              <w:jc w:val="left"/>
              <w:rPr>
                <w:rFonts w:hint="eastAsia" w:ascii="宋体" w:hAnsi="宋体" w:eastAsia="宋体" w:cs="宋体"/>
              </w:rPr>
            </w:pPr>
            <w:r>
              <w:rPr>
                <w:rFonts w:hint="eastAsia" w:ascii="宋体" w:hAnsi="宋体" w:eastAsia="宋体" w:cs="宋体"/>
              </w:rPr>
              <w:t>1）水龙头：采用全铜材质，表面采用高亮度环氧树脂涂层，耐磨陶瓷阀芯，水嘴设远距离操作把手，加防溅滤水器、鹅颈管，可360度旋转。</w:t>
            </w:r>
          </w:p>
          <w:p w14:paraId="26CC9EF9">
            <w:pPr>
              <w:jc w:val="left"/>
              <w:rPr>
                <w:rFonts w:hint="eastAsia" w:ascii="宋体" w:hAnsi="宋体" w:eastAsia="宋体" w:cs="宋体"/>
              </w:rPr>
            </w:pPr>
            <w:r>
              <w:rPr>
                <w:rFonts w:hint="eastAsia" w:ascii="宋体" w:hAnsi="宋体" w:eastAsia="宋体" w:cs="宋体"/>
              </w:rPr>
              <w:t>2）水槽：采用PP耐酸碱材质，一体成型小水槽。附落水头堵臭装置；</w:t>
            </w:r>
          </w:p>
        </w:tc>
        <w:tc>
          <w:tcPr>
            <w:tcW w:w="398" w:type="pct"/>
            <w:shd w:val="clear" w:color="auto" w:fill="auto"/>
            <w:noWrap/>
            <w:vAlign w:val="center"/>
          </w:tcPr>
          <w:p w14:paraId="483E92E5">
            <w:pPr>
              <w:jc w:val="center"/>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台</w:t>
            </w:r>
          </w:p>
        </w:tc>
        <w:tc>
          <w:tcPr>
            <w:tcW w:w="441" w:type="pct"/>
            <w:shd w:val="clear" w:color="auto" w:fill="auto"/>
            <w:noWrap/>
            <w:vAlign w:val="center"/>
          </w:tcPr>
          <w:p w14:paraId="3101FE8A">
            <w:pPr>
              <w:jc w:val="center"/>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4</w:t>
            </w:r>
          </w:p>
        </w:tc>
        <w:tc>
          <w:tcPr>
            <w:tcW w:w="449" w:type="pct"/>
            <w:shd w:val="clear" w:color="auto" w:fill="auto"/>
            <w:noWrap/>
            <w:vAlign w:val="center"/>
          </w:tcPr>
          <w:p w14:paraId="6D75EE82">
            <w:pPr>
              <w:jc w:val="center"/>
              <w:rPr>
                <w:rFonts w:hint="default" w:ascii="宋体" w:hAnsi="宋体" w:eastAsia="宋体" w:cs="宋体"/>
                <w:kern w:val="2"/>
                <w:sz w:val="21"/>
                <w:szCs w:val="22"/>
                <w:lang w:val="en-US" w:eastAsia="zh-CN" w:bidi="ar-SA"/>
              </w:rPr>
            </w:pPr>
            <w:r>
              <w:rPr>
                <w:rFonts w:hint="eastAsia" w:ascii="宋体" w:hAnsi="宋体" w:eastAsia="宋体" w:cs="宋体"/>
                <w:lang w:val="en-US" w:eastAsia="zh-CN"/>
              </w:rPr>
              <w:t>6500</w:t>
            </w:r>
          </w:p>
        </w:tc>
        <w:tc>
          <w:tcPr>
            <w:tcW w:w="482" w:type="pct"/>
            <w:shd w:val="clear" w:color="auto" w:fill="auto"/>
            <w:noWrap/>
            <w:vAlign w:val="center"/>
          </w:tcPr>
          <w:p w14:paraId="79DADC63">
            <w:pPr>
              <w:jc w:val="center"/>
              <w:rPr>
                <w:rFonts w:hint="default" w:ascii="宋体" w:hAnsi="宋体" w:eastAsia="宋体" w:cs="宋体"/>
                <w:kern w:val="2"/>
                <w:sz w:val="21"/>
                <w:szCs w:val="22"/>
                <w:lang w:val="en-US" w:eastAsia="zh-CN" w:bidi="ar-SA"/>
              </w:rPr>
            </w:pPr>
            <w:r>
              <w:rPr>
                <w:rFonts w:hint="eastAsia" w:ascii="宋体" w:hAnsi="宋体" w:eastAsia="宋体" w:cs="宋体"/>
                <w:lang w:val="en-US" w:eastAsia="zh-CN"/>
              </w:rPr>
              <w:t>26000</w:t>
            </w:r>
          </w:p>
        </w:tc>
      </w:tr>
      <w:tr w14:paraId="64002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392" w:type="pct"/>
            <w:noWrap/>
            <w:vAlign w:val="center"/>
          </w:tcPr>
          <w:p w14:paraId="2AF61E8A">
            <w:pPr>
              <w:jc w:val="center"/>
              <w:rPr>
                <w:rFonts w:hint="eastAsia" w:ascii="宋体" w:hAnsi="宋体" w:eastAsia="宋体" w:cs="宋体"/>
                <w:lang w:val="en-US" w:eastAsia="zh-CN"/>
              </w:rPr>
            </w:pPr>
            <w:r>
              <w:rPr>
                <w:rFonts w:hint="eastAsia" w:ascii="宋体" w:hAnsi="宋体" w:eastAsia="宋体" w:cs="宋体"/>
                <w:lang w:val="en-US" w:eastAsia="zh-CN"/>
              </w:rPr>
              <w:t>6</w:t>
            </w:r>
          </w:p>
        </w:tc>
        <w:tc>
          <w:tcPr>
            <w:tcW w:w="678" w:type="pct"/>
            <w:noWrap/>
            <w:vAlign w:val="center"/>
          </w:tcPr>
          <w:p w14:paraId="3B2E8811">
            <w:pPr>
              <w:jc w:val="center"/>
              <w:rPr>
                <w:rFonts w:hint="eastAsia" w:ascii="宋体" w:hAnsi="宋体" w:eastAsia="宋体" w:cs="宋体"/>
              </w:rPr>
            </w:pPr>
            <w:r>
              <w:rPr>
                <w:rFonts w:hint="eastAsia" w:ascii="宋体" w:hAnsi="宋体" w:eastAsia="宋体" w:cs="宋体"/>
              </w:rPr>
              <w:t>全钢通风柜</w:t>
            </w:r>
          </w:p>
        </w:tc>
        <w:tc>
          <w:tcPr>
            <w:tcW w:w="2156" w:type="pct"/>
            <w:vAlign w:val="center"/>
          </w:tcPr>
          <w:p w14:paraId="33148ED3">
            <w:pPr>
              <w:jc w:val="left"/>
              <w:rPr>
                <w:rFonts w:hint="eastAsia" w:ascii="宋体" w:hAnsi="宋体" w:eastAsia="宋体" w:cs="宋体"/>
              </w:rPr>
            </w:pPr>
            <w:r>
              <w:rPr>
                <w:rFonts w:hint="eastAsia" w:ascii="宋体" w:hAnsi="宋体" w:eastAsia="宋体" w:cs="宋体"/>
                <w:lang w:val="en-US" w:eastAsia="zh-CN"/>
              </w:rPr>
              <w:t>规格：18</w:t>
            </w:r>
            <w:r>
              <w:rPr>
                <w:rFonts w:hint="eastAsia" w:ascii="宋体" w:hAnsi="宋体" w:eastAsia="宋体" w:cs="宋体"/>
              </w:rPr>
              <w:t>00*850*2350mm</w:t>
            </w:r>
          </w:p>
          <w:p w14:paraId="23066728">
            <w:pPr>
              <w:jc w:val="left"/>
              <w:rPr>
                <w:rFonts w:hint="eastAsia" w:ascii="宋体" w:hAnsi="宋体" w:eastAsia="宋体" w:cs="宋体"/>
              </w:rPr>
            </w:pPr>
            <w:r>
              <w:rPr>
                <w:rFonts w:hint="eastAsia" w:ascii="宋体" w:hAnsi="宋体" w:eastAsia="宋体" w:cs="宋体"/>
              </w:rPr>
              <w:t>1.1柜体为上下组合式柜体，上部柜体为通风柜操作空间，并含操作台面照明，插座等实验需要附件，下部柜体为储存柜体。</w:t>
            </w:r>
          </w:p>
          <w:p w14:paraId="482A3457">
            <w:pPr>
              <w:jc w:val="left"/>
              <w:rPr>
                <w:rFonts w:hint="eastAsia" w:ascii="宋体" w:hAnsi="宋体" w:eastAsia="宋体" w:cs="宋体"/>
              </w:rPr>
            </w:pPr>
            <w:r>
              <w:rPr>
                <w:rFonts w:hint="eastAsia" w:ascii="宋体" w:hAnsi="宋体" w:eastAsia="宋体" w:cs="宋体"/>
              </w:rPr>
              <w:t>1.1.1上柜主体材料为≥1mm厚冷轧钢板，正面左右两侧操作面板后方为功能柱式的夹层结构，夹层内空间宽度≥95mm，以便容纳安装电、气等系统管线，台面操作宽度应≥1250mm;</w:t>
            </w:r>
          </w:p>
          <w:p w14:paraId="6752BBD8">
            <w:pPr>
              <w:jc w:val="left"/>
              <w:rPr>
                <w:rFonts w:hint="eastAsia" w:ascii="宋体" w:hAnsi="宋体" w:eastAsia="宋体" w:cs="宋体"/>
              </w:rPr>
            </w:pPr>
            <w:r>
              <w:rPr>
                <w:rFonts w:hint="eastAsia" w:ascii="宋体" w:hAnsi="宋体" w:eastAsia="宋体" w:cs="宋体"/>
              </w:rPr>
              <w:t>▲1.1.2通风柜主体耐腐蚀性：依据GB/T 10125-2021标准，进行168h中性盐雾连续喷雾试验后，镀(涂)层对基体的保护等级≥10级，镀(涂)层本身耐腐蚀等级10级。（需提供具有符合CMA 、CNAS认可的第三方检测机构出具的检测报告）</w:t>
            </w:r>
          </w:p>
          <w:p w14:paraId="2EE4AD7C">
            <w:pPr>
              <w:jc w:val="left"/>
              <w:rPr>
                <w:rFonts w:hint="eastAsia" w:ascii="宋体" w:hAnsi="宋体" w:eastAsia="宋体" w:cs="宋体"/>
              </w:rPr>
            </w:pPr>
            <w:r>
              <w:rPr>
                <w:rFonts w:hint="eastAsia" w:ascii="宋体" w:hAnsi="宋体" w:eastAsia="宋体" w:cs="宋体"/>
              </w:rPr>
              <w:t>1.2上柜内衬板:材料为≥5mm厚的实验室专用内衬板，外观胚体五面白色，具有阻燃、耐高温、耐火、抗酸碱腐蚀等特性。</w:t>
            </w:r>
          </w:p>
          <w:p w14:paraId="5EA770C4">
            <w:pPr>
              <w:jc w:val="left"/>
              <w:rPr>
                <w:rFonts w:hint="eastAsia" w:ascii="宋体" w:hAnsi="宋体" w:eastAsia="宋体" w:cs="宋体"/>
              </w:rPr>
            </w:pPr>
            <w:r>
              <w:rPr>
                <w:rFonts w:hint="eastAsia" w:ascii="宋体" w:hAnsi="宋体" w:eastAsia="宋体" w:cs="宋体"/>
              </w:rPr>
              <w:t>1.3导流板:结构设置合理，其材质与内衬板相同，导流板安装位置与角度需使排气分布均匀，在标准状況下，导流板上方与中、下方出口排员量各约50±10％，以确保不同比重之气体均能有效排除。</w:t>
            </w:r>
          </w:p>
          <w:p w14:paraId="40CD01F0">
            <w:pPr>
              <w:jc w:val="left"/>
              <w:rPr>
                <w:rFonts w:hint="eastAsia" w:ascii="宋体" w:hAnsi="宋体" w:eastAsia="宋体" w:cs="宋体"/>
              </w:rPr>
            </w:pPr>
            <w:r>
              <w:rPr>
                <w:rFonts w:hint="eastAsia" w:ascii="宋体" w:hAnsi="宋体" w:eastAsia="宋体" w:cs="宋体"/>
              </w:rPr>
              <w:t>1.4导流板安装:采用防腐料山脚架做街接件，便于清洁维护。</w:t>
            </w:r>
          </w:p>
          <w:p w14:paraId="04EB6178">
            <w:pPr>
              <w:jc w:val="left"/>
              <w:rPr>
                <w:rFonts w:hint="eastAsia" w:ascii="宋体" w:hAnsi="宋体" w:eastAsia="宋体" w:cs="宋体"/>
              </w:rPr>
            </w:pPr>
            <w:r>
              <w:rPr>
                <w:rFonts w:hint="eastAsia" w:ascii="宋体" w:hAnsi="宋体" w:eastAsia="宋体" w:cs="宋体"/>
              </w:rPr>
              <w:t>1.5集气风罩:采用PP集气罩，集气罩需具有良好的锥形集气角度及圆滑度，保证集气平均性及低压损。</w:t>
            </w:r>
          </w:p>
          <w:p w14:paraId="09380F5E">
            <w:pPr>
              <w:jc w:val="left"/>
              <w:rPr>
                <w:rFonts w:hint="eastAsia" w:ascii="宋体" w:hAnsi="宋体" w:eastAsia="宋体" w:cs="宋体"/>
              </w:rPr>
            </w:pPr>
            <w:r>
              <w:rPr>
                <w:rFonts w:hint="eastAsia" w:ascii="宋体" w:hAnsi="宋体" w:eastAsia="宋体" w:cs="宋体"/>
              </w:rPr>
              <w:t>1.6操作台面:</w:t>
            </w:r>
          </w:p>
          <w:p w14:paraId="222CDBF5">
            <w:pPr>
              <w:jc w:val="left"/>
              <w:rPr>
                <w:rFonts w:hint="eastAsia" w:ascii="宋体" w:hAnsi="宋体" w:eastAsia="宋体" w:cs="宋体"/>
              </w:rPr>
            </w:pPr>
            <w:r>
              <w:rPr>
                <w:rFonts w:hint="eastAsia" w:ascii="宋体" w:hAnsi="宋体" w:eastAsia="宋体" w:cs="宋体"/>
              </w:rPr>
              <w:t>1.7下柜:采用厚≥1.0mm冷轧钢板机压成型制作，表面经 EPOXY粉体静电烤漆处理，柜体附高低调整脚，调整脚为4分调节螺杆，下衬防震、防水、防锈之耐蚀橡皮底座。其性能要求如下：</w:t>
            </w:r>
          </w:p>
          <w:p w14:paraId="18988080">
            <w:pPr>
              <w:jc w:val="left"/>
              <w:rPr>
                <w:rFonts w:hint="eastAsia" w:ascii="宋体" w:hAnsi="宋体" w:eastAsia="宋体" w:cs="宋体"/>
              </w:rPr>
            </w:pPr>
            <w:r>
              <w:rPr>
                <w:rFonts w:hint="eastAsia" w:ascii="宋体" w:hAnsi="宋体" w:eastAsia="宋体" w:cs="宋体"/>
              </w:rPr>
              <w:t>(1)承重要求：</w:t>
            </w:r>
          </w:p>
          <w:p w14:paraId="07C6BC03">
            <w:pPr>
              <w:jc w:val="left"/>
              <w:rPr>
                <w:rFonts w:hint="eastAsia" w:ascii="宋体" w:hAnsi="宋体" w:eastAsia="宋体" w:cs="宋体"/>
              </w:rPr>
            </w:pPr>
            <w:r>
              <w:rPr>
                <w:rFonts w:hint="eastAsia" w:ascii="宋体" w:hAnsi="宋体" w:eastAsia="宋体" w:cs="宋体"/>
              </w:rPr>
              <w:t>1）落地式底柜柜体荷重性能检测：≥900公斤，结论为“符合”；</w:t>
            </w:r>
          </w:p>
          <w:p w14:paraId="61CCDF77">
            <w:pPr>
              <w:jc w:val="left"/>
              <w:rPr>
                <w:rFonts w:hint="eastAsia" w:ascii="宋体" w:hAnsi="宋体" w:eastAsia="宋体" w:cs="宋体"/>
              </w:rPr>
            </w:pPr>
            <w:r>
              <w:rPr>
                <w:rFonts w:hint="eastAsia" w:ascii="宋体" w:hAnsi="宋体" w:eastAsia="宋体" w:cs="宋体"/>
              </w:rPr>
              <w:t>2）落地式底柜柜体集中荷重性能检测：≥90公斤，结论为“符合”；</w:t>
            </w:r>
          </w:p>
          <w:p w14:paraId="4EF80BA8">
            <w:pPr>
              <w:jc w:val="left"/>
              <w:rPr>
                <w:rFonts w:hint="eastAsia" w:ascii="宋体" w:hAnsi="宋体" w:eastAsia="宋体" w:cs="宋体"/>
              </w:rPr>
            </w:pPr>
            <w:r>
              <w:rPr>
                <w:rFonts w:hint="eastAsia" w:ascii="宋体" w:hAnsi="宋体" w:eastAsia="宋体" w:cs="宋体"/>
              </w:rPr>
              <w:t>3）抽屉循环性能检测：打开和关闭加载抽屉的推拉力应不超过3.63kg，结论为“符合”；</w:t>
            </w:r>
          </w:p>
          <w:p w14:paraId="5AAD004B">
            <w:pPr>
              <w:jc w:val="left"/>
              <w:rPr>
                <w:rFonts w:hint="eastAsia" w:ascii="宋体" w:hAnsi="宋体" w:eastAsia="宋体" w:cs="宋体"/>
              </w:rPr>
            </w:pPr>
            <w:r>
              <w:rPr>
                <w:rFonts w:hint="eastAsia" w:ascii="宋体" w:hAnsi="宋体" w:eastAsia="宋体" w:cs="宋体"/>
              </w:rPr>
              <w:t>(2）柜体表面喷涂性能要求：</w:t>
            </w:r>
          </w:p>
          <w:p w14:paraId="003E5AFA">
            <w:pPr>
              <w:jc w:val="left"/>
              <w:rPr>
                <w:rFonts w:hint="eastAsia" w:ascii="宋体" w:hAnsi="宋体" w:eastAsia="宋体" w:cs="宋体"/>
              </w:rPr>
            </w:pPr>
            <w:r>
              <w:rPr>
                <w:rFonts w:hint="eastAsia" w:ascii="宋体" w:hAnsi="宋体" w:eastAsia="宋体" w:cs="宋体"/>
              </w:rPr>
              <w:t>1）化学试剂痕迹试验：耐指定的49种化学试剂，漆面结果是等级3的情况不应多于4个；</w:t>
            </w:r>
          </w:p>
          <w:p w14:paraId="047889A6">
            <w:pPr>
              <w:jc w:val="left"/>
              <w:rPr>
                <w:rFonts w:hint="eastAsia" w:ascii="宋体" w:hAnsi="宋体" w:eastAsia="宋体" w:cs="宋体"/>
              </w:rPr>
            </w:pPr>
            <w:r>
              <w:rPr>
                <w:rFonts w:hint="eastAsia" w:ascii="宋体" w:hAnsi="宋体" w:eastAsia="宋体" w:cs="宋体"/>
              </w:rPr>
              <w:t>2）产品表面涂层可迁移元素的限量：金属件喷涂层性能符合GB 18584-2024标准：其中锑、砷、钡镉、铬、铅、汞、硒重金属物检测结果为未检出。</w:t>
            </w:r>
          </w:p>
          <w:p w14:paraId="1D221427">
            <w:pPr>
              <w:jc w:val="left"/>
              <w:rPr>
                <w:rFonts w:hint="eastAsia" w:ascii="宋体" w:hAnsi="宋体" w:eastAsia="宋体" w:cs="宋体"/>
              </w:rPr>
            </w:pPr>
            <w:r>
              <w:rPr>
                <w:rFonts w:hint="eastAsia" w:ascii="宋体" w:hAnsi="宋体" w:eastAsia="宋体" w:cs="宋体"/>
              </w:rPr>
              <w:t>3）硬度试验：漆膜硬度应在 4H 铅笔硬度或以上。</w:t>
            </w:r>
          </w:p>
          <w:p w14:paraId="1A28B6F6">
            <w:pPr>
              <w:jc w:val="left"/>
              <w:rPr>
                <w:rFonts w:hint="eastAsia" w:ascii="宋体" w:hAnsi="宋体" w:eastAsia="宋体" w:cs="宋体"/>
              </w:rPr>
            </w:pPr>
            <w:r>
              <w:rPr>
                <w:rFonts w:hint="eastAsia" w:ascii="宋体" w:hAnsi="宋体" w:eastAsia="宋体" w:cs="宋体"/>
              </w:rPr>
              <w:t>4）依据GB/T 3325-2024标准，漆膜附着测试等级不低于2级。</w:t>
            </w:r>
          </w:p>
          <w:p w14:paraId="69D809E6">
            <w:pPr>
              <w:jc w:val="left"/>
              <w:rPr>
                <w:rFonts w:hint="eastAsia" w:ascii="宋体" w:hAnsi="宋体" w:eastAsia="宋体" w:cs="宋体"/>
              </w:rPr>
            </w:pPr>
            <w:r>
              <w:rPr>
                <w:rFonts w:hint="eastAsia" w:ascii="宋体" w:hAnsi="宋体" w:eastAsia="宋体" w:cs="宋体"/>
              </w:rPr>
              <w:t>1.8调节门外框及轨道:</w:t>
            </w:r>
          </w:p>
          <w:p w14:paraId="17AD94C5">
            <w:pPr>
              <w:jc w:val="left"/>
              <w:rPr>
                <w:rFonts w:hint="eastAsia" w:ascii="宋体" w:hAnsi="宋体" w:eastAsia="宋体" w:cs="宋体"/>
              </w:rPr>
            </w:pPr>
            <w:r>
              <w:rPr>
                <w:rFonts w:hint="eastAsia" w:ascii="宋体" w:hAnsi="宋体" w:eastAsia="宋体" w:cs="宋体"/>
              </w:rPr>
              <w:t>▲（1）调节门:铝合金材质表面经 EPOXY粉体烤漆制作。依据（GB/T 29739-2013 7.3标准，反复启闭耐久性≥50万次，检测结果：符合要求。（需提供具有符合CMA 、CNAS认可的第三方检测机构出具的检测报告）</w:t>
            </w:r>
          </w:p>
          <w:p w14:paraId="47B2F7E3">
            <w:pPr>
              <w:jc w:val="left"/>
              <w:rPr>
                <w:rFonts w:hint="eastAsia" w:ascii="宋体" w:hAnsi="宋体" w:eastAsia="宋体" w:cs="宋体"/>
              </w:rPr>
            </w:pPr>
            <w:r>
              <w:rPr>
                <w:rFonts w:hint="eastAsia" w:ascii="宋体" w:hAnsi="宋体" w:eastAsia="宋体" w:cs="宋体"/>
              </w:rPr>
              <w:t>（2）轨道材质:采用铝合金专用模具成型，表面经 EPOXY粉体烤漆制作。</w:t>
            </w:r>
          </w:p>
          <w:p w14:paraId="7944225E">
            <w:pPr>
              <w:jc w:val="left"/>
              <w:rPr>
                <w:rFonts w:hint="eastAsia" w:ascii="宋体" w:hAnsi="宋体" w:eastAsia="宋体" w:cs="宋体"/>
              </w:rPr>
            </w:pPr>
            <w:r>
              <w:rPr>
                <w:rFonts w:hint="eastAsia" w:ascii="宋体" w:hAnsi="宋体" w:eastAsia="宋体" w:cs="宋体"/>
              </w:rPr>
              <w:t>（3）调节门左右悬吊同步带安装，需完全隐匿于轨道内，上下拉动时不与轨道摩擦以确保钢索之安全，并避免化学腐蚀的问题。</w:t>
            </w:r>
          </w:p>
          <w:p w14:paraId="4E0DCDD8">
            <w:pPr>
              <w:jc w:val="left"/>
              <w:rPr>
                <w:rFonts w:hint="eastAsia" w:ascii="宋体" w:hAnsi="宋体" w:eastAsia="宋体" w:cs="宋体"/>
              </w:rPr>
            </w:pPr>
            <w:r>
              <w:rPr>
                <w:rFonts w:hint="eastAsia" w:ascii="宋体" w:hAnsi="宋体" w:eastAsia="宋体" w:cs="宋体"/>
              </w:rPr>
              <w:t>（4）调节门把手设计，需符合人体工学要求以方便使用者上下拉动施力。</w:t>
            </w:r>
          </w:p>
          <w:p w14:paraId="0099D991">
            <w:pPr>
              <w:jc w:val="left"/>
              <w:rPr>
                <w:rFonts w:hint="eastAsia" w:ascii="宋体" w:hAnsi="宋体" w:eastAsia="宋体" w:cs="宋体"/>
              </w:rPr>
            </w:pPr>
            <w:r>
              <w:rPr>
                <w:rFonts w:hint="eastAsia" w:ascii="宋体" w:hAnsi="宋体" w:eastAsia="宋体" w:cs="宋体"/>
              </w:rPr>
              <w:t>（5）调节门玻璃:采用5mm安全玻璃。</w:t>
            </w:r>
          </w:p>
          <w:p w14:paraId="289A6B7E">
            <w:pPr>
              <w:jc w:val="left"/>
              <w:rPr>
                <w:rFonts w:hint="eastAsia" w:ascii="宋体" w:hAnsi="宋体" w:eastAsia="宋体" w:cs="宋体"/>
              </w:rPr>
            </w:pPr>
            <w:r>
              <w:rPr>
                <w:rFonts w:hint="eastAsia" w:ascii="宋体" w:hAnsi="宋体" w:eastAsia="宋体" w:cs="宋体"/>
              </w:rPr>
              <w:t>（6）同步带轮组:</w:t>
            </w:r>
          </w:p>
          <w:p w14:paraId="1FCC674D">
            <w:pPr>
              <w:jc w:val="left"/>
              <w:rPr>
                <w:rFonts w:hint="eastAsia" w:ascii="宋体" w:hAnsi="宋体" w:eastAsia="宋体" w:cs="宋体"/>
              </w:rPr>
            </w:pPr>
            <w:r>
              <w:rPr>
                <w:rFonts w:hint="eastAsia" w:ascii="宋体" w:hAnsi="宋体" w:eastAsia="宋体" w:cs="宋体"/>
              </w:rPr>
              <w:t>1)、同步带轮固定座:采用厚2mm镀锌钢板机压成型，具双面包夹式防落设计，以确保安全。（冷轧板）</w:t>
            </w:r>
          </w:p>
          <w:p w14:paraId="20C3763A">
            <w:pPr>
              <w:jc w:val="left"/>
              <w:rPr>
                <w:rFonts w:hint="eastAsia" w:ascii="宋体" w:hAnsi="宋体" w:eastAsia="宋体" w:cs="宋体"/>
              </w:rPr>
            </w:pPr>
            <w:r>
              <w:rPr>
                <w:rFonts w:hint="eastAsia" w:ascii="宋体" w:hAnsi="宋体" w:eastAsia="宋体" w:cs="宋体"/>
              </w:rPr>
              <w:t>2)、同步带轮:带轮由45＃钢制造，传动准确、平衡、噪音小、无滑差，并具结构紧凑、宜于多轴传动、耐油、耐潮、耐腐、不需要润滑。（硬塑同步轮）</w:t>
            </w:r>
          </w:p>
          <w:p w14:paraId="2299D2F7">
            <w:pPr>
              <w:jc w:val="left"/>
              <w:rPr>
                <w:rFonts w:hint="eastAsia" w:ascii="宋体" w:hAnsi="宋体" w:eastAsia="宋体" w:cs="宋体"/>
              </w:rPr>
            </w:pPr>
            <w:r>
              <w:rPr>
                <w:rFonts w:hint="eastAsia" w:ascii="宋体" w:hAnsi="宋体" w:eastAsia="宋体" w:cs="宋体"/>
              </w:rPr>
              <w:t>3)、滑轮轴承:采用滚珠轴承及钢制轴承中心棒制作。</w:t>
            </w:r>
          </w:p>
          <w:p w14:paraId="1C9FDDC0">
            <w:pPr>
              <w:jc w:val="left"/>
              <w:rPr>
                <w:rFonts w:hint="eastAsia" w:ascii="宋体" w:hAnsi="宋体" w:eastAsia="宋体" w:cs="宋体"/>
              </w:rPr>
            </w:pPr>
            <w:r>
              <w:rPr>
                <w:rFonts w:hint="eastAsia" w:ascii="宋体" w:hAnsi="宋体" w:eastAsia="宋体" w:cs="宋体"/>
              </w:rPr>
              <w:t>4)、配重:固定滑槽设计，其上下行程具静音设计，避免摇晃碰撞。</w:t>
            </w:r>
          </w:p>
          <w:p w14:paraId="1A7D73DA">
            <w:pPr>
              <w:jc w:val="left"/>
              <w:rPr>
                <w:rFonts w:hint="eastAsia" w:ascii="宋体" w:hAnsi="宋体" w:eastAsia="宋体" w:cs="宋体"/>
              </w:rPr>
            </w:pPr>
            <w:r>
              <w:rPr>
                <w:rFonts w:hint="eastAsia" w:ascii="宋体" w:hAnsi="宋体" w:eastAsia="宋体" w:cs="宋体"/>
              </w:rPr>
              <w:t>1.9通风柜颜色要求：根据实际需求配置。</w:t>
            </w:r>
          </w:p>
          <w:p w14:paraId="21DAAC60">
            <w:pPr>
              <w:jc w:val="left"/>
              <w:rPr>
                <w:rFonts w:hint="eastAsia" w:ascii="宋体" w:hAnsi="宋体" w:eastAsia="宋体" w:cs="宋体"/>
              </w:rPr>
            </w:pPr>
            <w:r>
              <w:rPr>
                <w:rFonts w:hint="eastAsia" w:ascii="宋体" w:hAnsi="宋体" w:eastAsia="宋体" w:cs="宋体"/>
              </w:rPr>
              <w:t>1.10照明设备:采用LED600*1200C 68W，照度不低于500lux。</w:t>
            </w:r>
          </w:p>
          <w:p w14:paraId="589D6AF4">
            <w:pPr>
              <w:jc w:val="left"/>
              <w:rPr>
                <w:rFonts w:hint="eastAsia" w:ascii="宋体" w:hAnsi="宋体" w:eastAsia="宋体" w:cs="宋体"/>
              </w:rPr>
            </w:pPr>
            <w:r>
              <w:rPr>
                <w:rFonts w:hint="eastAsia" w:ascii="宋体" w:hAnsi="宋体" w:eastAsia="宋体" w:cs="宋体"/>
              </w:rPr>
              <w:t>1.11控制面板:采用专用控制面板，设有电源、开关、照明、风机以及运转指示灯等按钮，显示通风柜的运行情况。</w:t>
            </w:r>
          </w:p>
          <w:p w14:paraId="013722BC">
            <w:pPr>
              <w:jc w:val="left"/>
              <w:rPr>
                <w:rFonts w:hint="eastAsia" w:ascii="宋体" w:hAnsi="宋体" w:eastAsia="宋体" w:cs="宋体"/>
              </w:rPr>
            </w:pPr>
            <w:r>
              <w:rPr>
                <w:rFonts w:hint="eastAsia" w:ascii="宋体" w:hAnsi="宋体" w:eastAsia="宋体" w:cs="宋体"/>
              </w:rPr>
              <w:t>1.12其它电气配置:插座4个，220V/10A配4个。</w:t>
            </w:r>
          </w:p>
          <w:p w14:paraId="48332905">
            <w:pPr>
              <w:jc w:val="left"/>
              <w:rPr>
                <w:rFonts w:hint="eastAsia" w:ascii="宋体" w:hAnsi="宋体" w:eastAsia="宋体" w:cs="宋体"/>
              </w:rPr>
            </w:pPr>
            <w:r>
              <w:rPr>
                <w:rFonts w:hint="eastAsia" w:ascii="宋体" w:hAnsi="宋体" w:eastAsia="宋体" w:cs="宋体"/>
              </w:rPr>
              <w:t>1.13水龙头和水槽：采用全铜材质，表面采用高亮度环氧树脂涂层，耐磨陶瓷阀芯，水嘴设远距离操作把手，加防溅滤水器、鹅颈管，可360度旋转；杯槽尺寸不小于298*149，采用高密度PP新料注塑成型，耐腐蚀、耐酸碱和有机物，如王水等; 稳定性强，并具弹性、韧性，不易老化耐划。（杯槽需提供实物）</w:t>
            </w:r>
          </w:p>
          <w:p w14:paraId="4ADC9121">
            <w:pPr>
              <w:jc w:val="left"/>
              <w:rPr>
                <w:rFonts w:hint="eastAsia" w:ascii="宋体" w:hAnsi="宋体" w:eastAsia="宋体" w:cs="宋体"/>
              </w:rPr>
            </w:pPr>
            <w:r>
              <w:rPr>
                <w:rFonts w:hint="eastAsia" w:ascii="宋体" w:hAnsi="宋体" w:eastAsia="宋体" w:cs="宋体"/>
              </w:rPr>
              <w:t>▲1.14通风柜性能要求：</w:t>
            </w:r>
          </w:p>
          <w:p w14:paraId="47806953">
            <w:pPr>
              <w:jc w:val="left"/>
              <w:rPr>
                <w:rFonts w:hint="eastAsia" w:ascii="宋体" w:hAnsi="宋体" w:eastAsia="宋体" w:cs="宋体"/>
              </w:rPr>
            </w:pPr>
            <w:r>
              <w:rPr>
                <w:rFonts w:hint="eastAsia" w:ascii="宋体" w:hAnsi="宋体" w:eastAsia="宋体" w:cs="宋体"/>
              </w:rPr>
              <w:t>（1）根据ASHRAE 110-2016标准要求</w:t>
            </w:r>
          </w:p>
          <w:p w14:paraId="48AA0D3A">
            <w:pPr>
              <w:jc w:val="left"/>
              <w:rPr>
                <w:rFonts w:hint="eastAsia" w:ascii="宋体" w:hAnsi="宋体" w:eastAsia="宋体" w:cs="宋体"/>
              </w:rPr>
            </w:pPr>
            <w:r>
              <w:rPr>
                <w:rFonts w:hint="eastAsia" w:ascii="宋体" w:hAnsi="宋体" w:eastAsia="宋体" w:cs="宋体"/>
              </w:rPr>
              <w:t>1）设计面风速0.3 m/s、排风柜拉门高度457 mm，阻力≤24pa。</w:t>
            </w:r>
          </w:p>
          <w:p w14:paraId="202B9D65">
            <w:pPr>
              <w:jc w:val="left"/>
              <w:rPr>
                <w:rFonts w:hint="eastAsia" w:ascii="宋体" w:hAnsi="宋体" w:eastAsia="宋体" w:cs="宋体"/>
              </w:rPr>
            </w:pPr>
            <w:r>
              <w:rPr>
                <w:rFonts w:hint="eastAsia" w:ascii="宋体" w:hAnsi="宋体" w:eastAsia="宋体" w:cs="宋体"/>
              </w:rPr>
              <w:t>2）可视化－小烟雾：无可见外溢或逃逸；</w:t>
            </w:r>
          </w:p>
          <w:p w14:paraId="24CF9D94">
            <w:pPr>
              <w:jc w:val="left"/>
              <w:rPr>
                <w:rFonts w:hint="eastAsia" w:ascii="宋体" w:hAnsi="宋体" w:eastAsia="宋体" w:cs="宋体"/>
              </w:rPr>
            </w:pPr>
            <w:r>
              <w:rPr>
                <w:rFonts w:hint="eastAsia" w:ascii="宋体" w:hAnsi="宋体" w:eastAsia="宋体" w:cs="宋体"/>
              </w:rPr>
              <w:t>3）可视化－大烟雾：无可见外溢或逃逸；</w:t>
            </w:r>
          </w:p>
          <w:p w14:paraId="50EEEE59">
            <w:pPr>
              <w:jc w:val="left"/>
              <w:rPr>
                <w:rFonts w:hint="eastAsia" w:ascii="宋体" w:hAnsi="宋体" w:eastAsia="宋体" w:cs="宋体"/>
              </w:rPr>
            </w:pPr>
            <w:r>
              <w:rPr>
                <w:rFonts w:hint="eastAsia" w:ascii="宋体" w:hAnsi="宋体" w:eastAsia="宋体" w:cs="宋体"/>
              </w:rPr>
              <w:t>4）示踪气体浓度测试，平均值0.00 ppm，峰值不大于0.01 ppm；</w:t>
            </w:r>
          </w:p>
          <w:p w14:paraId="6CC8EAD8">
            <w:pPr>
              <w:jc w:val="left"/>
              <w:rPr>
                <w:rFonts w:hint="eastAsia" w:ascii="宋体" w:hAnsi="宋体" w:eastAsia="宋体" w:cs="宋体"/>
              </w:rPr>
            </w:pPr>
            <w:r>
              <w:rPr>
                <w:rFonts w:hint="eastAsia" w:ascii="宋体" w:hAnsi="宋体" w:eastAsia="宋体" w:cs="宋体"/>
              </w:rPr>
              <w:t>5）拉门移动影响测试，平均值0.00 ppm，峰值不大于0.01 ppm；</w:t>
            </w:r>
          </w:p>
          <w:p w14:paraId="6357435E">
            <w:pPr>
              <w:jc w:val="left"/>
              <w:rPr>
                <w:rFonts w:hint="eastAsia" w:ascii="宋体" w:hAnsi="宋体" w:eastAsia="宋体" w:cs="宋体"/>
              </w:rPr>
            </w:pPr>
            <w:r>
              <w:rPr>
                <w:rFonts w:hint="eastAsia" w:ascii="宋体" w:hAnsi="宋体" w:eastAsia="宋体" w:cs="宋体"/>
              </w:rPr>
              <w:t>6）周边扫描测试，平均值0.00 ppm，峰值不大于0.01 ppm；</w:t>
            </w:r>
          </w:p>
          <w:p w14:paraId="59ADBBEC">
            <w:pPr>
              <w:jc w:val="left"/>
              <w:rPr>
                <w:rFonts w:hint="eastAsia" w:ascii="宋体" w:hAnsi="宋体" w:eastAsia="宋体" w:cs="宋体"/>
              </w:rPr>
            </w:pPr>
            <w:r>
              <w:rPr>
                <w:rFonts w:hint="eastAsia" w:ascii="宋体" w:hAnsi="宋体" w:eastAsia="宋体" w:cs="宋体"/>
              </w:rPr>
              <w:t>（2）根据EN 14175-3:2019 标准要求</w:t>
            </w:r>
          </w:p>
          <w:p w14:paraId="495B570D">
            <w:pPr>
              <w:jc w:val="left"/>
              <w:rPr>
                <w:rFonts w:hint="eastAsia" w:ascii="宋体" w:hAnsi="宋体" w:eastAsia="宋体" w:cs="宋体"/>
              </w:rPr>
            </w:pPr>
            <w:r>
              <w:rPr>
                <w:rFonts w:hint="eastAsia" w:ascii="宋体" w:hAnsi="宋体" w:eastAsia="宋体" w:cs="宋体"/>
              </w:rPr>
              <w:t>1）排风柜拉门高度500 mm，面风速试验0.3m/s，阻力≤24pa。</w:t>
            </w:r>
          </w:p>
          <w:p w14:paraId="027F12E3">
            <w:pPr>
              <w:jc w:val="left"/>
              <w:rPr>
                <w:rFonts w:hint="eastAsia" w:ascii="宋体" w:hAnsi="宋体" w:eastAsia="宋体" w:cs="宋体"/>
              </w:rPr>
            </w:pPr>
            <w:r>
              <w:rPr>
                <w:rFonts w:hint="eastAsia" w:ascii="宋体" w:hAnsi="宋体" w:eastAsia="宋体" w:cs="宋体"/>
              </w:rPr>
              <w:t xml:space="preserve">2）浓度测试（内侧法）：&lt; 0.01ppm  </w:t>
            </w:r>
          </w:p>
          <w:p w14:paraId="31DAA766">
            <w:pPr>
              <w:jc w:val="left"/>
              <w:rPr>
                <w:rFonts w:hint="eastAsia" w:ascii="宋体" w:hAnsi="宋体" w:eastAsia="宋体" w:cs="宋体"/>
              </w:rPr>
            </w:pPr>
            <w:r>
              <w:rPr>
                <w:rFonts w:hint="eastAsia" w:ascii="宋体" w:hAnsi="宋体" w:eastAsia="宋体" w:cs="宋体"/>
              </w:rPr>
              <w:t xml:space="preserve">3）浓度测试（外侧法）：&lt; 0.01ppm </w:t>
            </w:r>
          </w:p>
          <w:p w14:paraId="2FD7BAD8">
            <w:pPr>
              <w:jc w:val="left"/>
              <w:rPr>
                <w:rFonts w:hint="eastAsia" w:ascii="宋体" w:hAnsi="宋体" w:eastAsia="宋体" w:cs="宋体"/>
              </w:rPr>
            </w:pPr>
            <w:r>
              <w:rPr>
                <w:rFonts w:hint="eastAsia" w:ascii="宋体" w:hAnsi="宋体" w:eastAsia="宋体" w:cs="宋体"/>
              </w:rPr>
              <w:t>4）扰流测试平均值≤ 0.1 ppm</w:t>
            </w:r>
          </w:p>
          <w:p w14:paraId="325E8435">
            <w:pPr>
              <w:jc w:val="left"/>
              <w:rPr>
                <w:rFonts w:hint="eastAsia" w:ascii="宋体" w:hAnsi="宋体" w:eastAsia="宋体" w:cs="宋体"/>
              </w:rPr>
            </w:pPr>
            <w:r>
              <w:rPr>
                <w:rFonts w:hint="eastAsia" w:ascii="宋体" w:hAnsi="宋体" w:eastAsia="宋体" w:cs="宋体"/>
              </w:rPr>
              <w:t>5）空气交换效率 ≥ 75%</w:t>
            </w:r>
          </w:p>
          <w:p w14:paraId="012A63F5">
            <w:pPr>
              <w:jc w:val="left"/>
              <w:rPr>
                <w:rFonts w:hint="eastAsia" w:ascii="宋体" w:hAnsi="宋体" w:eastAsia="宋体" w:cs="宋体"/>
              </w:rPr>
            </w:pPr>
            <w:r>
              <w:rPr>
                <w:rFonts w:hint="eastAsia" w:ascii="宋体" w:hAnsi="宋体" w:eastAsia="宋体" w:cs="宋体"/>
              </w:rPr>
              <w:t>（需提供具有符合CMA 、CNAS认可的第三方检测机构出具的检测报告）</w:t>
            </w:r>
          </w:p>
          <w:p w14:paraId="598E333A">
            <w:pPr>
              <w:jc w:val="left"/>
              <w:rPr>
                <w:rFonts w:hint="eastAsia" w:ascii="宋体" w:hAnsi="宋体" w:eastAsia="宋体" w:cs="宋体"/>
              </w:rPr>
            </w:pPr>
            <w:r>
              <w:rPr>
                <w:rFonts w:hint="eastAsia" w:ascii="宋体" w:hAnsi="宋体" w:eastAsia="宋体" w:cs="宋体"/>
              </w:rPr>
              <w:t>1.15选配装置（水配件等，根据实际情况选用）：</w:t>
            </w:r>
          </w:p>
          <w:p w14:paraId="3F78B234">
            <w:pPr>
              <w:jc w:val="left"/>
              <w:rPr>
                <w:rFonts w:hint="eastAsia" w:ascii="宋体" w:hAnsi="宋体" w:eastAsia="宋体" w:cs="宋体"/>
              </w:rPr>
            </w:pPr>
            <w:r>
              <w:rPr>
                <w:rFonts w:hint="eastAsia" w:ascii="宋体" w:hAnsi="宋体" w:eastAsia="宋体" w:cs="宋体"/>
              </w:rPr>
              <w:t>1）水龙头：采用全铜材质，表面采用高亮度环氧树脂涂层，耐磨陶瓷阀芯，水嘴设远距离操作把手，加防溅滤水器、鹅颈管，可360度旋转。</w:t>
            </w:r>
          </w:p>
          <w:p w14:paraId="42E513DF">
            <w:pPr>
              <w:jc w:val="left"/>
              <w:rPr>
                <w:rFonts w:hint="eastAsia" w:ascii="宋体" w:hAnsi="宋体" w:eastAsia="宋体" w:cs="宋体"/>
              </w:rPr>
            </w:pPr>
            <w:r>
              <w:rPr>
                <w:rFonts w:hint="eastAsia" w:ascii="宋体" w:hAnsi="宋体" w:eastAsia="宋体" w:cs="宋体"/>
              </w:rPr>
              <w:t>2）水槽：采用PP耐酸碱材质，一体成型小水槽。附落水头堵臭装置；</w:t>
            </w:r>
          </w:p>
        </w:tc>
        <w:tc>
          <w:tcPr>
            <w:tcW w:w="398" w:type="pct"/>
            <w:shd w:val="clear" w:color="auto" w:fill="auto"/>
            <w:noWrap/>
            <w:vAlign w:val="center"/>
          </w:tcPr>
          <w:p w14:paraId="3C0E3B93">
            <w:pPr>
              <w:jc w:val="center"/>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台</w:t>
            </w:r>
          </w:p>
        </w:tc>
        <w:tc>
          <w:tcPr>
            <w:tcW w:w="441" w:type="pct"/>
            <w:shd w:val="clear" w:color="auto" w:fill="auto"/>
            <w:noWrap/>
            <w:vAlign w:val="center"/>
          </w:tcPr>
          <w:p w14:paraId="0B34A0E7">
            <w:pPr>
              <w:jc w:val="center"/>
              <w:rPr>
                <w:rFonts w:hint="eastAsia" w:ascii="宋体" w:hAnsi="宋体" w:eastAsia="宋体" w:cs="宋体"/>
                <w:kern w:val="2"/>
                <w:sz w:val="21"/>
                <w:szCs w:val="22"/>
                <w:lang w:val="en-US" w:eastAsia="zh-CN" w:bidi="ar-SA"/>
              </w:rPr>
            </w:pPr>
            <w:r>
              <w:rPr>
                <w:rFonts w:hint="eastAsia" w:ascii="宋体" w:hAnsi="宋体" w:eastAsia="宋体" w:cs="宋体"/>
              </w:rPr>
              <w:t>2</w:t>
            </w:r>
          </w:p>
        </w:tc>
        <w:tc>
          <w:tcPr>
            <w:tcW w:w="449" w:type="pct"/>
            <w:shd w:val="clear" w:color="auto" w:fill="auto"/>
            <w:noWrap/>
            <w:vAlign w:val="center"/>
          </w:tcPr>
          <w:p w14:paraId="61DD5505">
            <w:pPr>
              <w:jc w:val="center"/>
              <w:rPr>
                <w:rFonts w:hint="default" w:ascii="宋体" w:hAnsi="宋体" w:eastAsia="宋体" w:cs="宋体"/>
                <w:kern w:val="2"/>
                <w:sz w:val="21"/>
                <w:szCs w:val="22"/>
                <w:lang w:val="en-US" w:eastAsia="zh-CN" w:bidi="ar-SA"/>
              </w:rPr>
            </w:pPr>
            <w:r>
              <w:rPr>
                <w:rFonts w:hint="eastAsia" w:ascii="宋体" w:hAnsi="宋体" w:eastAsia="宋体" w:cs="宋体"/>
                <w:lang w:val="en-US" w:eastAsia="zh-CN"/>
              </w:rPr>
              <w:t>8000</w:t>
            </w:r>
          </w:p>
        </w:tc>
        <w:tc>
          <w:tcPr>
            <w:tcW w:w="482" w:type="pct"/>
            <w:shd w:val="clear" w:color="auto" w:fill="auto"/>
            <w:noWrap/>
            <w:vAlign w:val="center"/>
          </w:tcPr>
          <w:p w14:paraId="6FC9835A">
            <w:pPr>
              <w:jc w:val="center"/>
              <w:rPr>
                <w:rFonts w:hint="default" w:ascii="宋体" w:hAnsi="宋体" w:eastAsia="宋体" w:cs="宋体"/>
                <w:kern w:val="2"/>
                <w:sz w:val="21"/>
                <w:szCs w:val="22"/>
                <w:lang w:val="en-US" w:eastAsia="zh-CN" w:bidi="ar-SA"/>
              </w:rPr>
            </w:pPr>
            <w:r>
              <w:rPr>
                <w:rFonts w:hint="eastAsia" w:ascii="宋体" w:hAnsi="宋体" w:eastAsia="宋体" w:cs="宋体"/>
                <w:lang w:val="en-US" w:eastAsia="zh-CN"/>
              </w:rPr>
              <w:t>16000</w:t>
            </w:r>
          </w:p>
        </w:tc>
      </w:tr>
      <w:tr w14:paraId="00FC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392" w:type="pct"/>
            <w:noWrap/>
            <w:vAlign w:val="center"/>
          </w:tcPr>
          <w:p w14:paraId="2257BCA4">
            <w:pPr>
              <w:jc w:val="center"/>
              <w:rPr>
                <w:rFonts w:hint="default" w:ascii="宋体" w:hAnsi="宋体" w:eastAsia="宋体" w:cs="宋体"/>
                <w:lang w:val="en-US" w:eastAsia="zh-CN"/>
              </w:rPr>
            </w:pPr>
            <w:r>
              <w:rPr>
                <w:rFonts w:hint="eastAsia" w:ascii="宋体" w:hAnsi="宋体" w:eastAsia="宋体" w:cs="宋体"/>
                <w:lang w:val="en-US" w:eastAsia="zh-CN"/>
              </w:rPr>
              <w:t>7</w:t>
            </w:r>
          </w:p>
        </w:tc>
        <w:tc>
          <w:tcPr>
            <w:tcW w:w="678" w:type="pct"/>
            <w:noWrap/>
            <w:vAlign w:val="center"/>
          </w:tcPr>
          <w:p w14:paraId="2B28B7CB">
            <w:pPr>
              <w:jc w:val="center"/>
              <w:rPr>
                <w:rFonts w:hint="eastAsia" w:ascii="宋体" w:hAnsi="宋体" w:eastAsia="宋体" w:cs="宋体"/>
              </w:rPr>
            </w:pPr>
            <w:r>
              <w:rPr>
                <w:rFonts w:hint="eastAsia" w:ascii="宋体" w:hAnsi="宋体" w:eastAsia="宋体" w:cs="宋体"/>
              </w:rPr>
              <w:t>全钢吊柜</w:t>
            </w:r>
          </w:p>
        </w:tc>
        <w:tc>
          <w:tcPr>
            <w:tcW w:w="2156" w:type="pct"/>
            <w:vAlign w:val="center"/>
          </w:tcPr>
          <w:p w14:paraId="699220FB">
            <w:pPr>
              <w:jc w:val="left"/>
              <w:rPr>
                <w:rFonts w:hint="eastAsia" w:ascii="宋体" w:hAnsi="宋体" w:eastAsia="宋体" w:cs="宋体"/>
              </w:rPr>
            </w:pPr>
            <w:r>
              <w:rPr>
                <w:rFonts w:hint="eastAsia" w:ascii="宋体" w:hAnsi="宋体" w:eastAsia="宋体" w:cs="宋体"/>
              </w:rPr>
              <w:t>规格：</w:t>
            </w:r>
            <w:r>
              <w:rPr>
                <w:rFonts w:hint="eastAsia" w:ascii="宋体" w:hAnsi="宋体" w:eastAsia="宋体" w:cs="宋体"/>
                <w:lang w:val="en-US" w:eastAsia="zh-CN"/>
              </w:rPr>
              <w:t>5300</w:t>
            </w:r>
            <w:r>
              <w:rPr>
                <w:rFonts w:hint="eastAsia" w:ascii="宋体" w:hAnsi="宋体" w:eastAsia="宋体" w:cs="宋体"/>
              </w:rPr>
              <w:t>*300*600mm</w:t>
            </w:r>
          </w:p>
          <w:p w14:paraId="65FB5C19">
            <w:pPr>
              <w:jc w:val="left"/>
              <w:rPr>
                <w:rFonts w:hint="eastAsia" w:ascii="宋体" w:hAnsi="宋体" w:eastAsia="宋体" w:cs="宋体"/>
              </w:rPr>
            </w:pPr>
            <w:r>
              <w:rPr>
                <w:rFonts w:hint="eastAsia" w:ascii="宋体" w:hAnsi="宋体" w:eastAsia="宋体" w:cs="宋体"/>
              </w:rPr>
              <w:t>（1）柜体：主体采用≥1.0 mm冷轧钢板机加工而成，尺寸≥300*600mm，表层双面磷化环氧树脂粉末静电喷涂，喷涂的前处理工序必须经预脱脂、脱脂、水洗、酸洗、水洗、表调、磷化、高压冲洗、超纯水清洗九道工序，确保彻底清除柜体油污、杂质等，提高柜体涂层附着力和耐腐蚀性能；</w:t>
            </w:r>
          </w:p>
          <w:p w14:paraId="5BEFDC6C">
            <w:pPr>
              <w:jc w:val="left"/>
              <w:rPr>
                <w:rFonts w:hint="eastAsia" w:ascii="宋体" w:hAnsi="宋体" w:eastAsia="宋体" w:cs="宋体"/>
              </w:rPr>
            </w:pPr>
            <w:r>
              <w:rPr>
                <w:rFonts w:hint="eastAsia" w:ascii="宋体" w:hAnsi="宋体" w:eastAsia="宋体" w:cs="宋体"/>
              </w:rPr>
              <w:t>（2）门板：门板必须为双层可拆卸结构，折弯搭接处必须满焊打磨处理，保证手感不粗糙，不伤手，日后使用不易返锈，内外面均经环氧树脂粉末静电喷涂烤漆工艺处理，材质与柜体同等，内侧设有防撞橡胶垫，对抽屉、门板闭合起减震作用；</w:t>
            </w:r>
          </w:p>
          <w:p w14:paraId="52263F44">
            <w:pPr>
              <w:jc w:val="left"/>
              <w:rPr>
                <w:rFonts w:hint="eastAsia" w:ascii="宋体" w:hAnsi="宋体" w:eastAsia="宋体" w:cs="宋体"/>
              </w:rPr>
            </w:pPr>
            <w:r>
              <w:rPr>
                <w:rFonts w:hint="eastAsia" w:ascii="宋体" w:hAnsi="宋体" w:eastAsia="宋体" w:cs="宋体"/>
              </w:rPr>
              <w:t xml:space="preserve">（3）层板：主体采用≥1.0mm冷轧钢板机加工而成，其余材质同柜体，箱体内设有托架，位置任意可调；合页：采用 304 不锈钢材质铰链 (合页) ，非焊接方式将门铰与柜体及柜门固定；拉手：采用304不锈钢拉手 。 </w:t>
            </w:r>
          </w:p>
          <w:p w14:paraId="48D70AF8">
            <w:pPr>
              <w:jc w:val="left"/>
              <w:rPr>
                <w:rFonts w:hint="eastAsia" w:ascii="宋体" w:hAnsi="宋体" w:eastAsia="宋体" w:cs="宋体"/>
              </w:rPr>
            </w:pPr>
            <w:r>
              <w:rPr>
                <w:rFonts w:hint="eastAsia" w:ascii="宋体" w:hAnsi="宋体" w:eastAsia="宋体" w:cs="宋体"/>
              </w:rPr>
              <w:t xml:space="preserve">（4）吊柜加载试验：使用沙袋或钢珠包以每平方英尺隔板面积40 Ib在柜底 </w:t>
            </w:r>
          </w:p>
          <w:p w14:paraId="08C3D0FA">
            <w:pPr>
              <w:jc w:val="left"/>
              <w:rPr>
                <w:rFonts w:hint="eastAsia" w:ascii="宋体" w:hAnsi="宋体" w:eastAsia="宋体" w:cs="宋体"/>
              </w:rPr>
            </w:pPr>
            <w:r>
              <w:rPr>
                <w:rFonts w:hint="eastAsia" w:ascii="宋体" w:hAnsi="宋体" w:eastAsia="宋体" w:cs="宋体"/>
              </w:rPr>
              <w:t>▲（5）每层隔板、柜顶上均匀加载，最大加载至约200 Ib。柜的最大加载不超过600 Ib，保持加载的情况下，24小时后，柜门完全开关，以验证门正常运行。 卸载沙袋或钢珠包后再操作门，检查柜顶、柜后部、柜底或隔板有无严重永久 变形。柜、柜底或隔板应无永久损坏。（需提供具有符合CMA 、CNAS认可的第三方检测机构出具的检测报告）</w:t>
            </w:r>
          </w:p>
        </w:tc>
        <w:tc>
          <w:tcPr>
            <w:tcW w:w="398" w:type="pct"/>
            <w:shd w:val="clear" w:color="auto" w:fill="auto"/>
            <w:noWrap/>
            <w:vAlign w:val="center"/>
          </w:tcPr>
          <w:p w14:paraId="37CCC0B9">
            <w:pPr>
              <w:jc w:val="center"/>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台</w:t>
            </w:r>
          </w:p>
        </w:tc>
        <w:tc>
          <w:tcPr>
            <w:tcW w:w="441" w:type="pct"/>
            <w:shd w:val="clear" w:color="auto" w:fill="auto"/>
            <w:noWrap/>
            <w:vAlign w:val="center"/>
          </w:tcPr>
          <w:p w14:paraId="32D515B0">
            <w:pPr>
              <w:jc w:val="center"/>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1</w:t>
            </w:r>
          </w:p>
        </w:tc>
        <w:tc>
          <w:tcPr>
            <w:tcW w:w="449" w:type="pct"/>
            <w:shd w:val="clear" w:color="auto" w:fill="auto"/>
            <w:noWrap/>
            <w:vAlign w:val="center"/>
          </w:tcPr>
          <w:p w14:paraId="443B293D">
            <w:pPr>
              <w:jc w:val="center"/>
              <w:rPr>
                <w:rFonts w:hint="default" w:ascii="宋体" w:hAnsi="宋体" w:eastAsia="宋体" w:cs="宋体"/>
                <w:kern w:val="2"/>
                <w:sz w:val="21"/>
                <w:szCs w:val="22"/>
                <w:lang w:val="en-US" w:eastAsia="zh-CN" w:bidi="ar-SA"/>
              </w:rPr>
            </w:pPr>
            <w:r>
              <w:rPr>
                <w:rFonts w:hint="eastAsia" w:ascii="宋体" w:hAnsi="宋体" w:eastAsia="宋体" w:cs="宋体"/>
                <w:lang w:val="en-US" w:eastAsia="zh-CN"/>
              </w:rPr>
              <w:t>4300</w:t>
            </w:r>
          </w:p>
        </w:tc>
        <w:tc>
          <w:tcPr>
            <w:tcW w:w="482" w:type="pct"/>
            <w:shd w:val="clear" w:color="auto" w:fill="auto"/>
            <w:noWrap/>
            <w:vAlign w:val="center"/>
          </w:tcPr>
          <w:p w14:paraId="024E5E21">
            <w:pPr>
              <w:jc w:val="center"/>
              <w:rPr>
                <w:rFonts w:hint="default" w:ascii="宋体" w:hAnsi="宋体" w:eastAsia="宋体" w:cs="宋体"/>
                <w:kern w:val="2"/>
                <w:sz w:val="21"/>
                <w:szCs w:val="22"/>
                <w:lang w:val="en-US" w:eastAsia="zh-CN" w:bidi="ar-SA"/>
              </w:rPr>
            </w:pPr>
            <w:r>
              <w:rPr>
                <w:rFonts w:hint="eastAsia" w:ascii="宋体" w:hAnsi="宋体" w:eastAsia="宋体" w:cs="宋体"/>
                <w:lang w:val="en-US" w:eastAsia="zh-CN"/>
              </w:rPr>
              <w:t>4300</w:t>
            </w:r>
          </w:p>
        </w:tc>
      </w:tr>
      <w:tr w14:paraId="1564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392" w:type="pct"/>
            <w:noWrap/>
            <w:vAlign w:val="center"/>
          </w:tcPr>
          <w:p w14:paraId="4AEED9C8">
            <w:pPr>
              <w:jc w:val="center"/>
              <w:rPr>
                <w:rFonts w:hint="default" w:ascii="宋体" w:hAnsi="宋体" w:eastAsia="宋体" w:cs="宋体"/>
                <w:lang w:val="en-US" w:eastAsia="zh-CN"/>
              </w:rPr>
            </w:pPr>
            <w:r>
              <w:rPr>
                <w:rFonts w:hint="eastAsia" w:ascii="宋体" w:hAnsi="宋体" w:eastAsia="宋体" w:cs="宋体"/>
                <w:lang w:val="en-US" w:eastAsia="zh-CN"/>
              </w:rPr>
              <w:t>8</w:t>
            </w:r>
          </w:p>
        </w:tc>
        <w:tc>
          <w:tcPr>
            <w:tcW w:w="678" w:type="pct"/>
            <w:noWrap/>
            <w:vAlign w:val="center"/>
          </w:tcPr>
          <w:p w14:paraId="6051EF23">
            <w:pPr>
              <w:jc w:val="center"/>
              <w:rPr>
                <w:rFonts w:hint="eastAsia" w:ascii="宋体" w:hAnsi="宋体" w:eastAsia="宋体" w:cs="宋体"/>
              </w:rPr>
            </w:pPr>
            <w:r>
              <w:rPr>
                <w:rFonts w:hint="eastAsia" w:ascii="宋体" w:hAnsi="宋体" w:eastAsia="宋体" w:cs="宋体"/>
              </w:rPr>
              <w:t>全钢器皿柜</w:t>
            </w:r>
          </w:p>
        </w:tc>
        <w:tc>
          <w:tcPr>
            <w:tcW w:w="2156" w:type="pct"/>
            <w:vAlign w:val="center"/>
          </w:tcPr>
          <w:p w14:paraId="7A6308C9">
            <w:pPr>
              <w:jc w:val="left"/>
              <w:rPr>
                <w:rFonts w:hint="eastAsia" w:ascii="宋体" w:hAnsi="宋体" w:eastAsia="宋体" w:cs="宋体"/>
              </w:rPr>
            </w:pPr>
            <w:r>
              <w:rPr>
                <w:rFonts w:hint="eastAsia" w:ascii="宋体" w:hAnsi="宋体" w:eastAsia="宋体" w:cs="宋体"/>
              </w:rPr>
              <w:t>（1）主体材质采用≥优质的1.0实厚冷扎钢板，尺寸≥900*450*1800mm。</w:t>
            </w:r>
          </w:p>
          <w:p w14:paraId="4F0F0E66">
            <w:pPr>
              <w:jc w:val="left"/>
              <w:rPr>
                <w:rFonts w:hint="eastAsia" w:ascii="宋体" w:hAnsi="宋体" w:eastAsia="宋体" w:cs="宋体"/>
              </w:rPr>
            </w:pPr>
            <w:r>
              <w:rPr>
                <w:rFonts w:hint="eastAsia" w:ascii="宋体" w:hAnsi="宋体" w:eastAsia="宋体" w:cs="宋体"/>
              </w:rPr>
              <w:t>（2）所有钢板喷涂前处理工序必须经预脱脂、脱脂、水洗、酸洗、水洗、表调、磷化、高压冲洗、超纯水清洗九道工序，再经环氧树脂喷涂粉末后进行高温固化。焊接处满焊工艺，目视平整无焊点。</w:t>
            </w:r>
          </w:p>
          <w:p w14:paraId="74F0E416">
            <w:pPr>
              <w:jc w:val="left"/>
              <w:rPr>
                <w:rFonts w:hint="eastAsia" w:ascii="宋体" w:hAnsi="宋体" w:eastAsia="宋体" w:cs="宋体"/>
              </w:rPr>
            </w:pPr>
            <w:r>
              <w:rPr>
                <w:rFonts w:hint="eastAsia" w:ascii="宋体" w:hAnsi="宋体" w:eastAsia="宋体" w:cs="宋体"/>
              </w:rPr>
              <w:t>（3）合页：304不锈钢材质，开启角度开启角度＞180度。</w:t>
            </w:r>
          </w:p>
          <w:p w14:paraId="04C2A8E0">
            <w:pPr>
              <w:jc w:val="left"/>
              <w:rPr>
                <w:rFonts w:hint="eastAsia" w:ascii="宋体" w:hAnsi="宋体" w:eastAsia="宋体" w:cs="宋体"/>
              </w:rPr>
            </w:pPr>
            <w:r>
              <w:rPr>
                <w:rFonts w:hint="eastAsia" w:ascii="宋体" w:hAnsi="宋体" w:eastAsia="宋体" w:cs="宋体"/>
              </w:rPr>
              <w:t xml:space="preserve">（4）双开门样式，透明玻璃对开门为≥5㎜钢化玻璃，双层结构，夹层内具消音材料抗压强度佳。                   </w:t>
            </w:r>
          </w:p>
          <w:p w14:paraId="3164D5E9">
            <w:pPr>
              <w:jc w:val="left"/>
              <w:rPr>
                <w:rFonts w:hint="eastAsia" w:ascii="宋体" w:hAnsi="宋体" w:eastAsia="宋体" w:cs="宋体"/>
              </w:rPr>
            </w:pPr>
            <w:r>
              <w:rPr>
                <w:rFonts w:hint="eastAsia" w:ascii="宋体" w:hAnsi="宋体" w:eastAsia="宋体" w:cs="宋体"/>
              </w:rPr>
              <w:t>（5）门板拉手可选：128mm不锈钢拉手。</w:t>
            </w:r>
          </w:p>
          <w:p w14:paraId="3EF52173">
            <w:pPr>
              <w:jc w:val="left"/>
              <w:rPr>
                <w:rFonts w:hint="eastAsia" w:ascii="宋体" w:hAnsi="宋体" w:eastAsia="宋体" w:cs="宋体"/>
              </w:rPr>
            </w:pPr>
            <w:r>
              <w:rPr>
                <w:rFonts w:hint="eastAsia" w:ascii="宋体" w:hAnsi="宋体" w:eastAsia="宋体" w:cs="宋体"/>
              </w:rPr>
              <w:t>▲（6）调整脚：不锈钢可调整脚，可自由调整高低。其抗滑移系数、扭矩系数、螺栓楔负载、螺母保证载荷需符合GB50205-2020标准，盐雾试验需≥300小时。（需提供具有符合CMA 、CNAS认可的第三方检测机构出具的检测报告）</w:t>
            </w:r>
          </w:p>
          <w:p w14:paraId="6B159776">
            <w:pPr>
              <w:jc w:val="left"/>
              <w:rPr>
                <w:rFonts w:hint="eastAsia" w:ascii="宋体" w:hAnsi="宋体" w:eastAsia="宋体" w:cs="宋体"/>
              </w:rPr>
            </w:pPr>
            <w:r>
              <w:rPr>
                <w:rFonts w:hint="eastAsia" w:ascii="宋体" w:hAnsi="宋体" w:eastAsia="宋体" w:cs="宋体"/>
              </w:rPr>
              <w:t>（7）层板扣：采用不锈钢材质模具一次成型。</w:t>
            </w:r>
          </w:p>
          <w:p w14:paraId="0BF44174">
            <w:pPr>
              <w:jc w:val="left"/>
              <w:rPr>
                <w:rFonts w:hint="eastAsia" w:ascii="宋体" w:hAnsi="宋体" w:eastAsia="宋体" w:cs="宋体"/>
              </w:rPr>
            </w:pPr>
            <w:r>
              <w:rPr>
                <w:rFonts w:hint="eastAsia" w:ascii="宋体" w:hAnsi="宋体" w:eastAsia="宋体" w:cs="宋体"/>
              </w:rPr>
              <w:t>▲（8）器皿柜柜体喷涂符合 HJ 2547-2016《环境标志产品技术要求 家具》的检测要求，其中铅、 汞、硒、锑、砷、钡、镉重金属物检测结果应为未检出。（需提供具有符合CMA 、CNAS认可的第三方检测机构出具的检测报告）</w:t>
            </w:r>
          </w:p>
          <w:p w14:paraId="2CC21D61">
            <w:pPr>
              <w:jc w:val="left"/>
              <w:rPr>
                <w:rFonts w:hint="eastAsia" w:ascii="宋体" w:hAnsi="宋体" w:eastAsia="宋体" w:cs="宋体"/>
              </w:rPr>
            </w:pPr>
            <w:r>
              <w:rPr>
                <w:rFonts w:hint="eastAsia" w:ascii="宋体" w:hAnsi="宋体" w:eastAsia="宋体" w:cs="宋体"/>
              </w:rPr>
              <w:t>▲（9）器皿柜柜体安全要求：符合GB20286-2006《公共场所阻燃制品及组件燃烧性能要求和标识》柜体燃烧时最大烟密度小于9%，一氧化碳、二 氧化碳浓度＜0.005%，质量损失率＜10%，整体性能到阻燃1级要求。（需提供具有符合CMA 、CNAS认可的第三方检测机构出具的检测报告）</w:t>
            </w:r>
          </w:p>
          <w:p w14:paraId="3592E643">
            <w:pPr>
              <w:jc w:val="left"/>
              <w:rPr>
                <w:rFonts w:hint="eastAsia" w:ascii="宋体" w:hAnsi="宋体" w:eastAsia="宋体" w:cs="宋体"/>
              </w:rPr>
            </w:pPr>
            <w:r>
              <w:rPr>
                <w:rFonts w:hint="eastAsia" w:ascii="宋体" w:hAnsi="宋体" w:eastAsia="宋体" w:cs="宋体"/>
              </w:rPr>
              <w:t>注：本★号项（功能柱性能）投标时需提供国内第三方出具的“检测报告”复印件，并加盖投标人公章；检测报告委托单位若非投标人的，还需加盖委托单位公章，否则视为无效检测报告</w:t>
            </w:r>
          </w:p>
        </w:tc>
        <w:tc>
          <w:tcPr>
            <w:tcW w:w="398" w:type="pct"/>
            <w:shd w:val="clear" w:color="auto" w:fill="auto"/>
            <w:noWrap/>
            <w:vAlign w:val="center"/>
          </w:tcPr>
          <w:p w14:paraId="0B05C5A9">
            <w:pPr>
              <w:jc w:val="center"/>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组</w:t>
            </w:r>
          </w:p>
        </w:tc>
        <w:tc>
          <w:tcPr>
            <w:tcW w:w="441" w:type="pct"/>
            <w:shd w:val="clear" w:color="auto" w:fill="auto"/>
            <w:noWrap/>
            <w:vAlign w:val="center"/>
          </w:tcPr>
          <w:p w14:paraId="52AA3CEB">
            <w:pPr>
              <w:jc w:val="center"/>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3</w:t>
            </w:r>
          </w:p>
        </w:tc>
        <w:tc>
          <w:tcPr>
            <w:tcW w:w="449" w:type="pct"/>
            <w:shd w:val="clear" w:color="auto" w:fill="auto"/>
            <w:noWrap/>
            <w:vAlign w:val="center"/>
          </w:tcPr>
          <w:p w14:paraId="45E0B550">
            <w:pPr>
              <w:jc w:val="center"/>
              <w:rPr>
                <w:rFonts w:hint="default" w:ascii="宋体" w:hAnsi="宋体" w:eastAsia="宋体" w:cs="宋体"/>
                <w:kern w:val="2"/>
                <w:sz w:val="21"/>
                <w:szCs w:val="22"/>
                <w:lang w:val="en-US" w:eastAsia="zh-CN" w:bidi="ar-SA"/>
              </w:rPr>
            </w:pPr>
            <w:r>
              <w:rPr>
                <w:rFonts w:hint="eastAsia" w:ascii="宋体" w:hAnsi="宋体" w:eastAsia="宋体" w:cs="宋体"/>
                <w:lang w:val="en-US" w:eastAsia="zh-CN"/>
              </w:rPr>
              <w:t>1500</w:t>
            </w:r>
          </w:p>
        </w:tc>
        <w:tc>
          <w:tcPr>
            <w:tcW w:w="482" w:type="pct"/>
            <w:shd w:val="clear" w:color="auto" w:fill="auto"/>
            <w:noWrap/>
            <w:vAlign w:val="center"/>
          </w:tcPr>
          <w:p w14:paraId="47C0EBC3">
            <w:pPr>
              <w:jc w:val="center"/>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4500</w:t>
            </w:r>
          </w:p>
        </w:tc>
      </w:tr>
      <w:tr w14:paraId="6924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392" w:type="pct"/>
            <w:noWrap/>
            <w:vAlign w:val="center"/>
          </w:tcPr>
          <w:p w14:paraId="5E5BD7A2">
            <w:pPr>
              <w:jc w:val="center"/>
              <w:rPr>
                <w:rFonts w:hint="eastAsia" w:ascii="宋体" w:hAnsi="宋体" w:eastAsia="宋体" w:cs="宋体"/>
              </w:rPr>
            </w:pPr>
          </w:p>
        </w:tc>
        <w:tc>
          <w:tcPr>
            <w:tcW w:w="678" w:type="pct"/>
            <w:noWrap/>
            <w:vAlign w:val="center"/>
          </w:tcPr>
          <w:p w14:paraId="4D7E0777">
            <w:pPr>
              <w:jc w:val="center"/>
              <w:rPr>
                <w:rFonts w:hint="eastAsia" w:ascii="宋体" w:hAnsi="宋体" w:eastAsia="宋体" w:cs="宋体"/>
              </w:rPr>
            </w:pPr>
          </w:p>
        </w:tc>
        <w:tc>
          <w:tcPr>
            <w:tcW w:w="2156" w:type="pct"/>
            <w:vAlign w:val="center"/>
          </w:tcPr>
          <w:p w14:paraId="651AD62A">
            <w:pPr>
              <w:jc w:val="left"/>
              <w:rPr>
                <w:rFonts w:hint="eastAsia" w:ascii="宋体" w:hAnsi="宋体" w:eastAsia="宋体" w:cs="宋体"/>
              </w:rPr>
            </w:pPr>
          </w:p>
        </w:tc>
        <w:tc>
          <w:tcPr>
            <w:tcW w:w="398" w:type="pct"/>
            <w:noWrap/>
            <w:vAlign w:val="center"/>
          </w:tcPr>
          <w:p w14:paraId="624E361D">
            <w:pPr>
              <w:jc w:val="center"/>
              <w:rPr>
                <w:rFonts w:hint="eastAsia" w:ascii="宋体" w:hAnsi="宋体" w:eastAsia="宋体" w:cs="宋体"/>
              </w:rPr>
            </w:pPr>
          </w:p>
        </w:tc>
        <w:tc>
          <w:tcPr>
            <w:tcW w:w="441" w:type="pct"/>
            <w:noWrap/>
            <w:vAlign w:val="center"/>
          </w:tcPr>
          <w:p w14:paraId="75EE748C">
            <w:pPr>
              <w:jc w:val="center"/>
              <w:rPr>
                <w:rFonts w:hint="eastAsia" w:ascii="宋体" w:hAnsi="宋体" w:eastAsia="宋体" w:cs="宋体"/>
              </w:rPr>
            </w:pPr>
          </w:p>
        </w:tc>
        <w:tc>
          <w:tcPr>
            <w:tcW w:w="449" w:type="pct"/>
            <w:noWrap/>
            <w:vAlign w:val="center"/>
          </w:tcPr>
          <w:p w14:paraId="7EF3DB98">
            <w:pPr>
              <w:jc w:val="center"/>
              <w:rPr>
                <w:rFonts w:hint="eastAsia" w:ascii="宋体" w:hAnsi="宋体" w:eastAsia="宋体" w:cs="宋体"/>
              </w:rPr>
            </w:pPr>
            <w:r>
              <w:rPr>
                <w:rFonts w:hint="eastAsia" w:ascii="宋体" w:hAnsi="宋体" w:eastAsia="宋体" w:cs="宋体"/>
              </w:rPr>
              <w:t>合计</w:t>
            </w:r>
          </w:p>
        </w:tc>
        <w:tc>
          <w:tcPr>
            <w:tcW w:w="482" w:type="pct"/>
            <w:noWrap/>
            <w:vAlign w:val="center"/>
          </w:tcPr>
          <w:p w14:paraId="4EB5E013">
            <w:pPr>
              <w:jc w:val="center"/>
              <w:rPr>
                <w:rFonts w:hint="default" w:ascii="宋体" w:hAnsi="宋体" w:eastAsia="宋体" w:cs="宋体"/>
                <w:lang w:val="en-US" w:eastAsia="zh-CN"/>
              </w:rPr>
            </w:pPr>
            <w:r>
              <w:rPr>
                <w:rFonts w:hint="eastAsia" w:ascii="宋体" w:hAnsi="宋体" w:eastAsia="宋体" w:cs="宋体"/>
                <w:lang w:val="en-US" w:eastAsia="zh-CN"/>
              </w:rPr>
              <w:t>70000</w:t>
            </w:r>
          </w:p>
        </w:tc>
      </w:tr>
    </w:tbl>
    <w:p w14:paraId="7A19590B">
      <w:pPr>
        <w:pStyle w:val="7"/>
        <w:ind w:left="360" w:firstLine="0" w:firstLineChars="0"/>
        <w:rPr>
          <w:rFonts w:hint="eastAsia"/>
        </w:rPr>
      </w:pPr>
    </w:p>
    <w:p w14:paraId="3820AD82">
      <w:pPr>
        <w:pStyle w:val="7"/>
        <w:ind w:left="360" w:firstLine="0" w:firstLineChars="0"/>
        <w:rPr>
          <w:rFonts w:hint="eastAsia"/>
        </w:rPr>
      </w:pPr>
    </w:p>
    <w:p w14:paraId="26CDDF84">
      <w:pPr>
        <w:pStyle w:val="7"/>
        <w:spacing w:line="360" w:lineRule="auto"/>
        <w:ind w:left="360" w:firstLine="0" w:firstLineChars="0"/>
        <w:rPr>
          <w:rFonts w:hint="eastAsia" w:ascii="宋体" w:hAnsi="宋体" w:eastAsia="宋体" w:cs="宋体"/>
          <w:b/>
          <w:bCs/>
          <w:sz w:val="24"/>
          <w:szCs w:val="28"/>
        </w:rPr>
      </w:pPr>
      <w:r>
        <w:rPr>
          <w:rFonts w:hint="eastAsia" w:ascii="宋体" w:hAnsi="宋体" w:eastAsia="宋体" w:cs="宋体"/>
          <w:b/>
          <w:bCs/>
          <w:sz w:val="24"/>
          <w:szCs w:val="28"/>
        </w:rPr>
        <w:t>二、报价要求</w:t>
      </w:r>
    </w:p>
    <w:p w14:paraId="62B47FD2">
      <w:pPr>
        <w:pStyle w:val="7"/>
        <w:spacing w:line="360" w:lineRule="auto"/>
        <w:ind w:left="360" w:firstLine="0" w:firstLineChars="0"/>
        <w:rPr>
          <w:rFonts w:hint="eastAsia" w:ascii="宋体" w:hAnsi="宋体" w:eastAsia="宋体" w:cs="宋体"/>
          <w:sz w:val="24"/>
          <w:szCs w:val="28"/>
        </w:rPr>
      </w:pPr>
      <w:r>
        <w:rPr>
          <w:rFonts w:hint="eastAsia" w:ascii="宋体" w:hAnsi="宋体" w:eastAsia="宋体" w:cs="宋体"/>
          <w:sz w:val="24"/>
          <w:szCs w:val="28"/>
        </w:rPr>
        <w:t>1.最高报价不得超过</w:t>
      </w:r>
      <w:r>
        <w:rPr>
          <w:rFonts w:hint="eastAsia" w:ascii="宋体" w:hAnsi="宋体" w:eastAsia="宋体" w:cs="宋体"/>
          <w:lang w:val="en-US" w:eastAsia="zh-CN"/>
        </w:rPr>
        <w:t>70000</w:t>
      </w:r>
      <w:r>
        <w:rPr>
          <w:rFonts w:hint="eastAsia" w:ascii="宋体" w:hAnsi="宋体" w:eastAsia="宋体" w:cs="宋体"/>
          <w:sz w:val="24"/>
          <w:szCs w:val="28"/>
        </w:rPr>
        <w:t>元</w:t>
      </w:r>
    </w:p>
    <w:p w14:paraId="3915DCC6">
      <w:pPr>
        <w:pStyle w:val="7"/>
        <w:spacing w:line="360" w:lineRule="auto"/>
        <w:ind w:left="360" w:firstLine="0" w:firstLineChars="0"/>
        <w:rPr>
          <w:rFonts w:hint="eastAsia" w:ascii="宋体" w:hAnsi="宋体" w:eastAsia="宋体" w:cs="宋体"/>
          <w:b/>
          <w:bCs/>
          <w:sz w:val="24"/>
          <w:szCs w:val="28"/>
        </w:rPr>
      </w:pPr>
    </w:p>
    <w:p w14:paraId="58F618EC">
      <w:pPr>
        <w:pStyle w:val="7"/>
        <w:spacing w:line="360" w:lineRule="auto"/>
        <w:ind w:firstLine="482"/>
        <w:rPr>
          <w:rFonts w:hint="eastAsia" w:ascii="宋体" w:hAnsi="宋体" w:eastAsia="宋体" w:cs="宋体"/>
          <w:b/>
          <w:bCs/>
          <w:sz w:val="24"/>
          <w:szCs w:val="28"/>
        </w:rPr>
      </w:pPr>
      <w:r>
        <w:rPr>
          <w:rFonts w:hint="eastAsia" w:ascii="宋体" w:hAnsi="宋体" w:eastAsia="宋体" w:cs="宋体"/>
          <w:b/>
          <w:bCs/>
          <w:sz w:val="24"/>
          <w:szCs w:val="28"/>
        </w:rPr>
        <w:t>三、评分细则</w:t>
      </w:r>
    </w:p>
    <w:p w14:paraId="2F176AF3">
      <w:pPr>
        <w:pStyle w:val="7"/>
        <w:spacing w:line="360" w:lineRule="auto"/>
        <w:ind w:left="420" w:leftChars="200" w:firstLine="0" w:firstLineChars="0"/>
        <w:rPr>
          <w:rFonts w:hint="eastAsia" w:ascii="宋体" w:hAnsi="宋体" w:eastAsia="宋体" w:cs="宋体"/>
          <w:sz w:val="24"/>
          <w:szCs w:val="28"/>
        </w:rPr>
      </w:pPr>
      <w:r>
        <w:rPr>
          <w:rFonts w:hint="eastAsia" w:ascii="宋体" w:hAnsi="宋体" w:eastAsia="宋体" w:cs="宋体"/>
          <w:sz w:val="24"/>
          <w:szCs w:val="28"/>
        </w:rPr>
        <w:t>1.最低价中标</w:t>
      </w:r>
    </w:p>
    <w:p w14:paraId="65A2DABE">
      <w:pPr>
        <w:pStyle w:val="7"/>
        <w:spacing w:line="360" w:lineRule="auto"/>
        <w:ind w:left="420" w:leftChars="200" w:firstLine="0" w:firstLineChars="0"/>
        <w:rPr>
          <w:rFonts w:hint="eastAsia" w:ascii="宋体" w:hAnsi="宋体" w:eastAsia="宋体" w:cs="宋体"/>
          <w:sz w:val="24"/>
          <w:szCs w:val="28"/>
        </w:rPr>
      </w:pPr>
      <w:r>
        <w:rPr>
          <w:rFonts w:hint="eastAsia" w:ascii="宋体" w:hAnsi="宋体" w:eastAsia="宋体" w:cs="宋体"/>
          <w:sz w:val="24"/>
          <w:szCs w:val="28"/>
        </w:rPr>
        <w:t>2.文件中要求证明材料需提供，否则投标无效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BmYjE3ZGI4ZDgyMjRkNjc3ZDhkM2NlMzYzYWYwOGEifQ=="/>
  </w:docVars>
  <w:rsids>
    <w:rsidRoot w:val="00177014"/>
    <w:rsid w:val="000540D7"/>
    <w:rsid w:val="00177014"/>
    <w:rsid w:val="0041400B"/>
    <w:rsid w:val="008032AD"/>
    <w:rsid w:val="00804AB6"/>
    <w:rsid w:val="008323E7"/>
    <w:rsid w:val="009547B8"/>
    <w:rsid w:val="00A33B28"/>
    <w:rsid w:val="00A76886"/>
    <w:rsid w:val="00B56AD4"/>
    <w:rsid w:val="00D53B19"/>
    <w:rsid w:val="00D70B18"/>
    <w:rsid w:val="00E64827"/>
    <w:rsid w:val="00EB0655"/>
    <w:rsid w:val="00F55D01"/>
    <w:rsid w:val="03F90AE6"/>
    <w:rsid w:val="0AB47515"/>
    <w:rsid w:val="18D45181"/>
    <w:rsid w:val="20166850"/>
    <w:rsid w:val="27664EFE"/>
    <w:rsid w:val="301F7847"/>
    <w:rsid w:val="3755599A"/>
    <w:rsid w:val="3DFC3847"/>
    <w:rsid w:val="46A247A3"/>
    <w:rsid w:val="51112598"/>
    <w:rsid w:val="52DD400E"/>
    <w:rsid w:val="57435475"/>
    <w:rsid w:val="5CF526AB"/>
    <w:rsid w:val="66594668"/>
    <w:rsid w:val="6C494F92"/>
    <w:rsid w:val="6D282CA2"/>
    <w:rsid w:val="77A57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字符"/>
    <w:basedOn w:val="6"/>
    <w:link w:val="3"/>
    <w:qFormat/>
    <w:uiPriority w:val="99"/>
    <w:rPr>
      <w:kern w:val="2"/>
      <w:sz w:val="18"/>
      <w:szCs w:val="18"/>
    </w:rPr>
  </w:style>
  <w:style w:type="character" w:customStyle="1" w:styleId="9">
    <w:name w:val="页脚 字符"/>
    <w:basedOn w:val="6"/>
    <w:link w:val="2"/>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10624</Words>
  <Characters>12550</Characters>
  <Lines>231</Lines>
  <Paragraphs>146</Paragraphs>
  <TotalTime>4</TotalTime>
  <ScaleCrop>false</ScaleCrop>
  <LinksUpToDate>false</LinksUpToDate>
  <CharactersWithSpaces>12825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2026-05-31T03:37:00Z</dcterms:created>
  <dc:creator>admin</dc:creator>
  <cp:lastModifiedBy>星</cp:lastModifiedBy>
  <dcterms:modified xsi:type="dcterms:W3CDTF">2026-10-14T01:16:55Z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eyJoZGlkIjoiMWRjMzE0YTg2YTdlMjNmZmRmNTkwMGFmNWQ4NzU3NWEiLCJ1c2VySWQiOiI5MDk4MDc2NjQifQ==</vt:lpwstr>
  </property>
  <property fmtid="{D5CDD505-2E9C-101B-9397-08002B2CF9AE}" pid="3" name="KSOProductBuildVer">
    <vt:lpwstr>2052-12.1.0.18276</vt:lpwstr>
  </property>
  <property fmtid="{D5CDD505-2E9C-101B-9397-08002B2CF9AE}" pid="4" name="ICV">
    <vt:lpwstr>23C8C68FD9194359BEEC5A8069A2ADFA_13</vt:lpwstr>
  </property>
</Properties>
</file>